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157A5E" w:rsidRDefault="0092154F" w:rsidP="0092154F">
      <w:pPr>
        <w:pStyle w:val="Title"/>
        <w:rPr>
          <w:rFonts w:ascii="Calibri" w:hAnsi="Calibri" w:cs="Calibri"/>
        </w:rPr>
      </w:pPr>
      <w:r w:rsidRPr="00157A5E">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157A5E">
        <w:rPr>
          <w:rFonts w:ascii="Calibri" w:hAnsi="Calibri" w:cs="Calibri"/>
        </w:rPr>
        <w:t>Understanding Rights Reversion</w:t>
      </w:r>
    </w:p>
    <w:p w14:paraId="350DCDBA" w14:textId="1B9D3051" w:rsidR="00416C20" w:rsidRPr="00157A5E" w:rsidRDefault="00EF686E" w:rsidP="0092154F">
      <w:pPr>
        <w:pStyle w:val="Subtitle"/>
        <w:rPr>
          <w:rFonts w:ascii="Calibri" w:hAnsi="Calibri" w:cs="Calibri"/>
        </w:rPr>
      </w:pPr>
      <w:r w:rsidRPr="00157A5E">
        <w:rPr>
          <w:rFonts w:ascii="Calibri" w:hAnsi="Calibri" w:cs="Calibri"/>
        </w:rPr>
        <w:t>Hands-On Exercise: Scenario #</w:t>
      </w:r>
      <w:r w:rsidR="00347C09" w:rsidRPr="00157A5E">
        <w:rPr>
          <w:rFonts w:ascii="Calibri" w:hAnsi="Calibri" w:cs="Calibri"/>
        </w:rPr>
        <w:t>2</w:t>
      </w:r>
    </w:p>
    <w:p w14:paraId="52C8CD08" w14:textId="77777777" w:rsidR="0092154F" w:rsidRPr="00157A5E" w:rsidRDefault="0092154F">
      <w:pPr>
        <w:rPr>
          <w:rFonts w:ascii="Calibri" w:hAnsi="Calibri" w:cs="Calibri"/>
          <w:b/>
          <w:color w:val="000000" w:themeColor="text1"/>
        </w:rPr>
      </w:pPr>
    </w:p>
    <w:p w14:paraId="70DEFB26" w14:textId="77777777" w:rsidR="0092154F" w:rsidRPr="00157A5E" w:rsidRDefault="0092154F">
      <w:pPr>
        <w:rPr>
          <w:rFonts w:ascii="Calibri" w:hAnsi="Calibri" w:cs="Calibri"/>
          <w:b/>
          <w:color w:val="000000" w:themeColor="text1"/>
        </w:rPr>
      </w:pPr>
    </w:p>
    <w:p w14:paraId="7C6E94A7" w14:textId="77777777" w:rsidR="0092154F" w:rsidRPr="00157A5E" w:rsidRDefault="0092154F">
      <w:pPr>
        <w:rPr>
          <w:rFonts w:ascii="Calibri" w:hAnsi="Calibri" w:cs="Calibri"/>
          <w:b/>
          <w:color w:val="000000" w:themeColor="text1"/>
        </w:rPr>
      </w:pPr>
    </w:p>
    <w:p w14:paraId="12136D6D" w14:textId="77777777" w:rsidR="0092154F" w:rsidRPr="00157A5E" w:rsidRDefault="0092154F">
      <w:pPr>
        <w:rPr>
          <w:rFonts w:ascii="Calibri" w:hAnsi="Calibri" w:cs="Calibri"/>
          <w:b/>
          <w:color w:val="000000" w:themeColor="text1"/>
        </w:rPr>
      </w:pPr>
    </w:p>
    <w:p w14:paraId="3C4CB267" w14:textId="77777777" w:rsidR="00EF686E" w:rsidRPr="00157A5E" w:rsidRDefault="00EF686E" w:rsidP="00EF686E">
      <w:pPr>
        <w:rPr>
          <w:rFonts w:ascii="Calibri" w:hAnsi="Calibri" w:cs="Calibri"/>
          <w:b/>
        </w:rPr>
      </w:pPr>
    </w:p>
    <w:p w14:paraId="6564FDD2" w14:textId="77777777" w:rsidR="00EF686E" w:rsidRPr="00157A5E" w:rsidRDefault="00EF686E" w:rsidP="00353E42">
      <w:pPr>
        <w:pStyle w:val="Heading1"/>
        <w:rPr>
          <w:rFonts w:ascii="Calibri" w:hAnsi="Calibri" w:cs="Calibri"/>
        </w:rPr>
      </w:pPr>
      <w:r w:rsidRPr="00157A5E">
        <w:rPr>
          <w:rFonts w:ascii="Calibri" w:hAnsi="Calibri" w:cs="Calibri"/>
        </w:rPr>
        <w:t xml:space="preserve">Part 1 </w:t>
      </w:r>
    </w:p>
    <w:p w14:paraId="6E6A4A69" w14:textId="77777777" w:rsidR="00EF686E" w:rsidRPr="00157A5E" w:rsidRDefault="00EF686E" w:rsidP="00EF686E">
      <w:pPr>
        <w:rPr>
          <w:rFonts w:ascii="Calibri" w:hAnsi="Calibri" w:cs="Calibri"/>
        </w:rPr>
      </w:pPr>
    </w:p>
    <w:p w14:paraId="5466B45F" w14:textId="4A548312" w:rsidR="004A25D9" w:rsidRPr="00157A5E" w:rsidRDefault="00EF686E" w:rsidP="004A25D9">
      <w:pPr>
        <w:spacing w:line="276" w:lineRule="auto"/>
        <w:rPr>
          <w:rFonts w:ascii="Calibri" w:hAnsi="Calibri" w:cs="Calibri"/>
        </w:rPr>
      </w:pPr>
      <w:r w:rsidRPr="00157A5E">
        <w:rPr>
          <w:rFonts w:ascii="Calibri" w:hAnsi="Calibri" w:cs="Calibri"/>
        </w:rPr>
        <w:t xml:space="preserve">Taylor Torrez published </w:t>
      </w:r>
      <w:r w:rsidRPr="00157A5E">
        <w:rPr>
          <w:rFonts w:ascii="Calibri" w:hAnsi="Calibri" w:cs="Calibri"/>
          <w:i/>
        </w:rPr>
        <w:t>Treasury of Tactile Textiles</w:t>
      </w:r>
      <w:r w:rsidRPr="00157A5E">
        <w:rPr>
          <w:rFonts w:ascii="Calibri" w:hAnsi="Calibri" w:cs="Calibri"/>
        </w:rPr>
        <w:t xml:space="preserve"> a few years ago with Palpable Publisher, which has released the book in e-book</w:t>
      </w:r>
      <w:bookmarkStart w:id="0" w:name="_GoBack"/>
      <w:bookmarkEnd w:id="0"/>
      <w:r w:rsidRPr="00157A5E">
        <w:rPr>
          <w:rFonts w:ascii="Calibri" w:hAnsi="Calibri" w:cs="Calibri"/>
        </w:rPr>
        <w:t xml:space="preserve"> form only. Because it is assigned as core reading in several Fashion Design 101 classes, the book is selling well. But several professors who have not assigned the text have reached out to Taylor to relay that their students prefer a more tangible reading experience, and they would consider assigning the book only if it is available in print form. Taylor is eager to expand the market for their work, so they want to explore options to make </w:t>
      </w:r>
      <w:r w:rsidRPr="00157A5E">
        <w:rPr>
          <w:rFonts w:ascii="Calibri" w:hAnsi="Calibri" w:cs="Calibri"/>
          <w:i/>
        </w:rPr>
        <w:t xml:space="preserve">TTT </w:t>
      </w:r>
      <w:r w:rsidRPr="00157A5E">
        <w:rPr>
          <w:rFonts w:ascii="Calibri" w:hAnsi="Calibri" w:cs="Calibri"/>
        </w:rPr>
        <w:t xml:space="preserve">available as a print book. </w:t>
      </w:r>
    </w:p>
    <w:p w14:paraId="03228C7D" w14:textId="77777777" w:rsidR="004A25D9" w:rsidRPr="00157A5E" w:rsidRDefault="004A25D9" w:rsidP="004A25D9">
      <w:pPr>
        <w:jc w:val="center"/>
        <w:rPr>
          <w:rFonts w:ascii="Calibri" w:hAnsi="Calibri" w:cs="Calibri"/>
        </w:rPr>
      </w:pPr>
      <w:r w:rsidRPr="00157A5E">
        <w:rPr>
          <w:rFonts w:ascii="Calibri" w:hAnsi="Calibri" w:cs="Calibri"/>
          <w:noProof/>
        </w:rPr>
        <w:drawing>
          <wp:anchor distT="0" distB="0" distL="114300" distR="114300" simplePos="0" relativeHeight="251661312" behindDoc="1" locked="0" layoutInCell="1" allowOverlap="1" wp14:anchorId="3DA13D17" wp14:editId="6DB16AA1">
            <wp:simplePos x="0" y="0"/>
            <wp:positionH relativeFrom="column">
              <wp:posOffset>620486</wp:posOffset>
            </wp:positionH>
            <wp:positionV relativeFrom="paragraph">
              <wp:posOffset>72572</wp:posOffset>
            </wp:positionV>
            <wp:extent cx="4949017" cy="2409372"/>
            <wp:effectExtent l="0" t="0" r="4445" b="3810"/>
            <wp:wrapNone/>
            <wp:docPr id="3" name="Picture 3"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 b="41288"/>
                    <a:stretch/>
                  </pic:blipFill>
                  <pic:spPr bwMode="auto">
                    <a:xfrm>
                      <a:off x="0" y="0"/>
                      <a:ext cx="4970243" cy="241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44112" w14:textId="77777777" w:rsidR="004A25D9" w:rsidRPr="00157A5E" w:rsidRDefault="004A25D9" w:rsidP="004A25D9">
      <w:pPr>
        <w:rPr>
          <w:rFonts w:ascii="Calibri" w:hAnsi="Calibri" w:cs="Calibri"/>
        </w:rPr>
      </w:pPr>
    </w:p>
    <w:p w14:paraId="09F12916" w14:textId="77777777" w:rsidR="004A25D9" w:rsidRPr="00157A5E" w:rsidRDefault="004A25D9" w:rsidP="004A25D9">
      <w:pPr>
        <w:spacing w:line="276" w:lineRule="auto"/>
        <w:rPr>
          <w:rFonts w:ascii="Calibri" w:hAnsi="Calibri" w:cs="Calibri"/>
          <w:b/>
        </w:rPr>
      </w:pPr>
    </w:p>
    <w:p w14:paraId="03C1D76F" w14:textId="77777777" w:rsidR="004A25D9" w:rsidRPr="00157A5E" w:rsidRDefault="004A25D9" w:rsidP="004A25D9">
      <w:pPr>
        <w:spacing w:line="276" w:lineRule="auto"/>
        <w:rPr>
          <w:rFonts w:ascii="Calibri" w:hAnsi="Calibri" w:cs="Calibri"/>
          <w:b/>
        </w:rPr>
      </w:pPr>
    </w:p>
    <w:p w14:paraId="3E7277C5" w14:textId="77777777" w:rsidR="004A25D9" w:rsidRPr="00157A5E" w:rsidRDefault="004A25D9" w:rsidP="004A25D9">
      <w:pPr>
        <w:spacing w:line="276" w:lineRule="auto"/>
        <w:rPr>
          <w:rFonts w:ascii="Calibri" w:hAnsi="Calibri" w:cs="Calibri"/>
          <w:b/>
        </w:rPr>
      </w:pPr>
    </w:p>
    <w:p w14:paraId="48698E1E" w14:textId="37004BFB" w:rsidR="004A25D9" w:rsidRPr="00157A5E" w:rsidRDefault="004A25D9" w:rsidP="004A25D9">
      <w:pPr>
        <w:spacing w:line="276" w:lineRule="auto"/>
        <w:ind w:left="2160" w:right="1980"/>
        <w:jc w:val="center"/>
        <w:rPr>
          <w:rFonts w:ascii="Calibri" w:hAnsi="Calibri" w:cs="Calibri"/>
          <w:b/>
        </w:rPr>
      </w:pPr>
      <w:r w:rsidRPr="00157A5E">
        <w:rPr>
          <w:rFonts w:ascii="Calibri" w:hAnsi="Calibri" w:cs="Calibri"/>
          <w:b/>
        </w:rPr>
        <w:t xml:space="preserve">Publishing Agreement </w:t>
      </w:r>
      <w:r w:rsidRPr="00157A5E">
        <w:rPr>
          <w:rFonts w:ascii="Calibri" w:hAnsi="Calibri" w:cs="Calibri"/>
        </w:rPr>
        <w:t xml:space="preserve">between Palpable Publisher (“Publisher”) and Taylor Torrez (“Author”) for </w:t>
      </w:r>
      <w:r w:rsidRPr="00157A5E">
        <w:rPr>
          <w:rFonts w:ascii="Calibri" w:hAnsi="Calibri" w:cs="Calibri"/>
          <w:i/>
        </w:rPr>
        <w:t xml:space="preserve">Treasury of Tactile Textiles </w:t>
      </w:r>
      <w:r w:rsidRPr="00157A5E">
        <w:rPr>
          <w:rFonts w:ascii="Calibri" w:hAnsi="Calibri" w:cs="Calibri"/>
        </w:rPr>
        <w:t>(the “Work”)</w:t>
      </w:r>
    </w:p>
    <w:p w14:paraId="147DEEAA" w14:textId="77777777" w:rsidR="004A25D9" w:rsidRPr="00157A5E" w:rsidRDefault="004A25D9" w:rsidP="004A25D9">
      <w:pPr>
        <w:spacing w:line="276" w:lineRule="auto"/>
        <w:ind w:left="2160" w:right="1980"/>
        <w:rPr>
          <w:rFonts w:ascii="Calibri" w:hAnsi="Calibri" w:cs="Calibri"/>
          <w:b/>
        </w:rPr>
      </w:pPr>
    </w:p>
    <w:p w14:paraId="3E39BA76" w14:textId="66C570F4" w:rsidR="004A25D9" w:rsidRPr="00157A5E" w:rsidRDefault="004A25D9" w:rsidP="004A25D9">
      <w:pPr>
        <w:spacing w:line="276" w:lineRule="auto"/>
        <w:ind w:left="2160" w:right="1980"/>
        <w:rPr>
          <w:rFonts w:ascii="Calibri" w:hAnsi="Calibri" w:cs="Calibri"/>
        </w:rPr>
      </w:pPr>
      <w:r w:rsidRPr="00157A5E">
        <w:rPr>
          <w:rFonts w:ascii="Calibri" w:hAnsi="Calibri" w:cs="Calibri"/>
          <w:b/>
        </w:rPr>
        <w:t xml:space="preserve">Grant of Rights: </w:t>
      </w:r>
      <w:r w:rsidRPr="00157A5E">
        <w:rPr>
          <w:rFonts w:ascii="Calibri" w:hAnsi="Calibri" w:cs="Calibri"/>
        </w:rPr>
        <w:t>Author hereby</w:t>
      </w:r>
      <w:r w:rsidRPr="00157A5E">
        <w:rPr>
          <w:rFonts w:ascii="Calibri" w:hAnsi="Calibri" w:cs="Calibri"/>
          <w:b/>
        </w:rPr>
        <w:t xml:space="preserve"> </w:t>
      </w:r>
      <w:r w:rsidRPr="00157A5E">
        <w:rPr>
          <w:rFonts w:ascii="Calibri" w:hAnsi="Calibri" w:cs="Calibri"/>
        </w:rPr>
        <w:t>grants Publisher worldwide, exclusive rights to the Work</w:t>
      </w:r>
      <w:r w:rsidRPr="00157A5E">
        <w:rPr>
          <w:rFonts w:ascii="Calibri" w:hAnsi="Calibri" w:cs="Calibri"/>
          <w:i/>
        </w:rPr>
        <w:t xml:space="preserve"> </w:t>
      </w:r>
      <w:r w:rsidRPr="00157A5E">
        <w:rPr>
          <w:rFonts w:ascii="Calibri" w:hAnsi="Calibri" w:cs="Calibri"/>
        </w:rPr>
        <w:t xml:space="preserve">in all </w:t>
      </w:r>
      <w:r w:rsidR="00551B0A" w:rsidRPr="00157A5E">
        <w:rPr>
          <w:rFonts w:ascii="Calibri" w:hAnsi="Calibri" w:cs="Calibri"/>
        </w:rPr>
        <w:t xml:space="preserve">electronic and print </w:t>
      </w:r>
      <w:r w:rsidRPr="00157A5E">
        <w:rPr>
          <w:rFonts w:ascii="Calibri" w:hAnsi="Calibri" w:cs="Calibri"/>
        </w:rPr>
        <w:t xml:space="preserve">formats for the life of copyright. </w:t>
      </w:r>
    </w:p>
    <w:p w14:paraId="47B31E61" w14:textId="77777777" w:rsidR="004A25D9" w:rsidRPr="00157A5E" w:rsidRDefault="004A25D9" w:rsidP="004A25D9">
      <w:pPr>
        <w:spacing w:line="276" w:lineRule="auto"/>
        <w:rPr>
          <w:rFonts w:ascii="Calibri" w:hAnsi="Calibri" w:cs="Calibri"/>
          <w:b/>
        </w:rPr>
      </w:pPr>
    </w:p>
    <w:p w14:paraId="50EB49C4" w14:textId="3F8B4065" w:rsidR="00EF686E" w:rsidRPr="00157A5E" w:rsidRDefault="00EF686E" w:rsidP="00353E42">
      <w:pPr>
        <w:spacing w:line="276" w:lineRule="auto"/>
        <w:rPr>
          <w:rFonts w:ascii="Calibri" w:hAnsi="Calibri" w:cs="Calibri"/>
        </w:rPr>
      </w:pPr>
      <w:r w:rsidRPr="00157A5E">
        <w:rPr>
          <w:rFonts w:ascii="Calibri" w:hAnsi="Calibri" w:cs="Calibri"/>
        </w:rPr>
        <w:t xml:space="preserve">Does Taylor need to revert rights or come to another agreement with his publisher to make their </w:t>
      </w:r>
      <w:r w:rsidR="00551B0A" w:rsidRPr="00157A5E">
        <w:rPr>
          <w:rFonts w:ascii="Calibri" w:hAnsi="Calibri" w:cs="Calibri"/>
        </w:rPr>
        <w:t xml:space="preserve">book </w:t>
      </w:r>
      <w:r w:rsidRPr="00157A5E">
        <w:rPr>
          <w:rFonts w:ascii="Calibri" w:hAnsi="Calibri" w:cs="Calibri"/>
        </w:rPr>
        <w:t>available as a paperback? Why or why not?</w:t>
      </w:r>
    </w:p>
    <w:p w14:paraId="6D79BCEA" w14:textId="77777777" w:rsidR="00EF686E" w:rsidRPr="00157A5E" w:rsidRDefault="00EF686E" w:rsidP="00EF686E">
      <w:pPr>
        <w:rPr>
          <w:rFonts w:ascii="Calibri" w:hAnsi="Calibri" w:cs="Calibri"/>
        </w:rPr>
      </w:pPr>
    </w:p>
    <w:p w14:paraId="72515F9B" w14:textId="1A214081" w:rsidR="00EF686E" w:rsidRPr="00157A5E" w:rsidRDefault="00EF686E" w:rsidP="00EF686E">
      <w:pPr>
        <w:rPr>
          <w:rFonts w:ascii="Calibri" w:hAnsi="Calibri" w:cs="Calibri"/>
        </w:rPr>
      </w:pPr>
      <w:r w:rsidRPr="00157A5E">
        <w:rPr>
          <w:rFonts w:ascii="Calibri" w:hAnsi="Calibri" w:cs="Calibri"/>
        </w:rPr>
        <w:t>____________</w:t>
      </w:r>
      <w:r w:rsidR="00353E42" w:rsidRPr="00157A5E">
        <w:rPr>
          <w:rFonts w:ascii="Calibri" w:hAnsi="Calibri" w:cs="Calibri"/>
        </w:rPr>
        <w:t>______</w:t>
      </w:r>
      <w:r w:rsidRPr="00157A5E">
        <w:rPr>
          <w:rFonts w:ascii="Calibri" w:hAnsi="Calibri" w:cs="Calibri"/>
        </w:rPr>
        <w:t>__________________________________________________________________</w:t>
      </w:r>
    </w:p>
    <w:p w14:paraId="36CDAE3A" w14:textId="77777777" w:rsidR="00EF686E" w:rsidRPr="00157A5E" w:rsidRDefault="00EF686E" w:rsidP="00EF686E">
      <w:pPr>
        <w:rPr>
          <w:rFonts w:ascii="Calibri" w:hAnsi="Calibri" w:cs="Calibri"/>
        </w:rPr>
      </w:pPr>
    </w:p>
    <w:p w14:paraId="0BA1B6B9" w14:textId="08B4645E" w:rsidR="00EF686E" w:rsidRPr="00157A5E" w:rsidRDefault="00EF686E" w:rsidP="00EF686E">
      <w:pPr>
        <w:rPr>
          <w:rFonts w:ascii="Calibri" w:hAnsi="Calibri" w:cs="Calibri"/>
        </w:rPr>
      </w:pPr>
      <w:r w:rsidRPr="00157A5E">
        <w:rPr>
          <w:rFonts w:ascii="Calibri" w:hAnsi="Calibri" w:cs="Calibri"/>
        </w:rPr>
        <w:t>___________</w:t>
      </w:r>
      <w:r w:rsidR="00353E42" w:rsidRPr="00157A5E">
        <w:rPr>
          <w:rFonts w:ascii="Calibri" w:hAnsi="Calibri" w:cs="Calibri"/>
        </w:rPr>
        <w:t>______</w:t>
      </w:r>
      <w:r w:rsidRPr="00157A5E">
        <w:rPr>
          <w:rFonts w:ascii="Calibri" w:hAnsi="Calibri" w:cs="Calibri"/>
        </w:rPr>
        <w:t>___________________________________________________________________</w:t>
      </w:r>
    </w:p>
    <w:p w14:paraId="55EB8DE7" w14:textId="77777777" w:rsidR="00EF686E" w:rsidRPr="00157A5E" w:rsidRDefault="00EF686E" w:rsidP="00EF686E">
      <w:pPr>
        <w:rPr>
          <w:rFonts w:ascii="Calibri" w:hAnsi="Calibri" w:cs="Calibri"/>
        </w:rPr>
      </w:pPr>
    </w:p>
    <w:p w14:paraId="48AFC7AF" w14:textId="0B7B12EA" w:rsidR="00EF686E" w:rsidRPr="00157A5E" w:rsidRDefault="00EF686E" w:rsidP="00EF686E">
      <w:pPr>
        <w:rPr>
          <w:rFonts w:ascii="Calibri" w:hAnsi="Calibri" w:cs="Calibri"/>
        </w:rPr>
      </w:pPr>
      <w:r w:rsidRPr="00157A5E">
        <w:rPr>
          <w:rFonts w:ascii="Calibri" w:hAnsi="Calibri" w:cs="Calibri"/>
        </w:rPr>
        <w:t>___________</w:t>
      </w:r>
      <w:r w:rsidR="00353E42" w:rsidRPr="00157A5E">
        <w:rPr>
          <w:rFonts w:ascii="Calibri" w:hAnsi="Calibri" w:cs="Calibri"/>
        </w:rPr>
        <w:t>______</w:t>
      </w:r>
      <w:r w:rsidRPr="00157A5E">
        <w:rPr>
          <w:rFonts w:ascii="Calibri" w:hAnsi="Calibri" w:cs="Calibri"/>
        </w:rPr>
        <w:t>___________________________________________________________________</w:t>
      </w:r>
    </w:p>
    <w:p w14:paraId="1A8C6C94" w14:textId="77777777" w:rsidR="00EF686E" w:rsidRPr="00157A5E" w:rsidRDefault="00EF686E" w:rsidP="00EF686E">
      <w:pPr>
        <w:rPr>
          <w:rFonts w:ascii="Calibri" w:hAnsi="Calibri" w:cs="Calibri"/>
        </w:rPr>
      </w:pPr>
    </w:p>
    <w:p w14:paraId="182E21BD" w14:textId="0B91474B" w:rsidR="00EF686E" w:rsidRPr="00157A5E" w:rsidRDefault="00EF686E" w:rsidP="00EF686E">
      <w:pPr>
        <w:rPr>
          <w:rFonts w:ascii="Calibri" w:hAnsi="Calibri" w:cs="Calibri"/>
        </w:rPr>
      </w:pPr>
      <w:r w:rsidRPr="00157A5E">
        <w:rPr>
          <w:rFonts w:ascii="Calibri" w:hAnsi="Calibri" w:cs="Calibri"/>
        </w:rPr>
        <w:t>___________</w:t>
      </w:r>
      <w:r w:rsidR="00353E42" w:rsidRPr="00157A5E">
        <w:rPr>
          <w:rFonts w:ascii="Calibri" w:hAnsi="Calibri" w:cs="Calibri"/>
        </w:rPr>
        <w:t>______</w:t>
      </w:r>
      <w:r w:rsidRPr="00157A5E">
        <w:rPr>
          <w:rFonts w:ascii="Calibri" w:hAnsi="Calibri" w:cs="Calibri"/>
        </w:rPr>
        <w:t>___________________________________________________________________</w:t>
      </w:r>
    </w:p>
    <w:p w14:paraId="3CD11D70" w14:textId="77777777" w:rsidR="00EF686E" w:rsidRPr="00157A5E" w:rsidRDefault="00EF686E" w:rsidP="00EF686E">
      <w:pPr>
        <w:rPr>
          <w:rFonts w:ascii="Calibri" w:hAnsi="Calibri" w:cs="Calibri"/>
        </w:rPr>
      </w:pPr>
    </w:p>
    <w:p w14:paraId="3D6448DC" w14:textId="77777777" w:rsidR="004A25D9" w:rsidRPr="00157A5E" w:rsidRDefault="004A25D9">
      <w:pPr>
        <w:rPr>
          <w:rFonts w:ascii="Calibri" w:eastAsiaTheme="majorEastAsia" w:hAnsi="Calibri" w:cs="Calibri"/>
          <w:b/>
          <w:bCs/>
          <w:color w:val="000000" w:themeColor="text1"/>
        </w:rPr>
      </w:pPr>
      <w:r w:rsidRPr="00157A5E">
        <w:rPr>
          <w:rFonts w:ascii="Calibri" w:hAnsi="Calibri" w:cs="Calibri"/>
        </w:rPr>
        <w:br w:type="page"/>
      </w:r>
    </w:p>
    <w:p w14:paraId="3D6319FE" w14:textId="273528A0" w:rsidR="00EF686E" w:rsidRPr="00157A5E" w:rsidRDefault="00EF686E" w:rsidP="00353E42">
      <w:pPr>
        <w:pStyle w:val="Heading1"/>
        <w:rPr>
          <w:rFonts w:ascii="Calibri" w:hAnsi="Calibri" w:cs="Calibri"/>
        </w:rPr>
      </w:pPr>
      <w:r w:rsidRPr="00157A5E">
        <w:rPr>
          <w:rFonts w:ascii="Calibri" w:hAnsi="Calibri" w:cs="Calibri"/>
        </w:rPr>
        <w:lastRenderedPageBreak/>
        <w:t>Part 2</w:t>
      </w:r>
    </w:p>
    <w:p w14:paraId="1DE909FB" w14:textId="77777777" w:rsidR="00EF686E" w:rsidRPr="00157A5E" w:rsidRDefault="00EF686E" w:rsidP="00EF686E">
      <w:pPr>
        <w:outlineLvl w:val="0"/>
        <w:rPr>
          <w:rFonts w:ascii="Calibri" w:hAnsi="Calibri" w:cs="Calibri"/>
          <w:b/>
        </w:rPr>
      </w:pPr>
    </w:p>
    <w:p w14:paraId="2C0BCC04" w14:textId="55131BB1" w:rsidR="004A25D9" w:rsidRPr="00157A5E" w:rsidRDefault="00EF686E" w:rsidP="004A25D9">
      <w:pPr>
        <w:spacing w:line="276" w:lineRule="auto"/>
        <w:rPr>
          <w:rFonts w:ascii="Calibri" w:hAnsi="Calibri" w:cs="Calibri"/>
        </w:rPr>
      </w:pPr>
      <w:r w:rsidRPr="00157A5E">
        <w:rPr>
          <w:rFonts w:ascii="Calibri" w:hAnsi="Calibri" w:cs="Calibri"/>
        </w:rPr>
        <w:t xml:space="preserve">Taylor reviews their contract and sees they gave Palpable Publisher all of the exclusive rights to the </w:t>
      </w:r>
      <w:r w:rsidRPr="00157A5E">
        <w:rPr>
          <w:rFonts w:ascii="Calibri" w:hAnsi="Calibri" w:cs="Calibri"/>
          <w:i/>
        </w:rPr>
        <w:t>Treasury of Tactile Textiles</w:t>
      </w:r>
      <w:r w:rsidRPr="00157A5E">
        <w:rPr>
          <w:rFonts w:ascii="Calibri" w:hAnsi="Calibri" w:cs="Calibri"/>
        </w:rPr>
        <w:t xml:space="preserve"> for the life of copyright. This means they will need to revert rights or otherwise come to an agreement with Palpable before they can make </w:t>
      </w:r>
      <w:r w:rsidRPr="00157A5E">
        <w:rPr>
          <w:rFonts w:ascii="Calibri" w:hAnsi="Calibri" w:cs="Calibri"/>
          <w:i/>
        </w:rPr>
        <w:t>TTT</w:t>
      </w:r>
      <w:r w:rsidRPr="00157A5E">
        <w:rPr>
          <w:rFonts w:ascii="Calibri" w:hAnsi="Calibri" w:cs="Calibri"/>
        </w:rPr>
        <w:t xml:space="preserve"> available in print form. Taylor digs deeper and finds that their contract has a reversion clause.</w:t>
      </w:r>
    </w:p>
    <w:p w14:paraId="5B9E7178" w14:textId="77777777" w:rsidR="004A25D9" w:rsidRPr="00157A5E" w:rsidRDefault="004A25D9" w:rsidP="004A25D9">
      <w:pPr>
        <w:jc w:val="center"/>
        <w:rPr>
          <w:rFonts w:ascii="Calibri" w:hAnsi="Calibri" w:cs="Calibri"/>
        </w:rPr>
      </w:pPr>
      <w:r w:rsidRPr="00157A5E">
        <w:rPr>
          <w:rFonts w:ascii="Calibri" w:hAnsi="Calibri" w:cs="Calibri"/>
          <w:noProof/>
        </w:rPr>
        <w:drawing>
          <wp:anchor distT="0" distB="0" distL="114300" distR="114300" simplePos="0" relativeHeight="251663360" behindDoc="1" locked="0" layoutInCell="1" allowOverlap="1" wp14:anchorId="45C83C4F" wp14:editId="2DBE73B3">
            <wp:simplePos x="0" y="0"/>
            <wp:positionH relativeFrom="column">
              <wp:posOffset>620486</wp:posOffset>
            </wp:positionH>
            <wp:positionV relativeFrom="paragraph">
              <wp:posOffset>72572</wp:posOffset>
            </wp:positionV>
            <wp:extent cx="4949017" cy="2409372"/>
            <wp:effectExtent l="0" t="0" r="4445" b="3810"/>
            <wp:wrapNone/>
            <wp:docPr id="1" name="Picture 1"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 b="41288"/>
                    <a:stretch/>
                  </pic:blipFill>
                  <pic:spPr bwMode="auto">
                    <a:xfrm>
                      <a:off x="0" y="0"/>
                      <a:ext cx="4970243" cy="241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3F563" w14:textId="77777777" w:rsidR="004A25D9" w:rsidRPr="00157A5E" w:rsidRDefault="004A25D9" w:rsidP="004A25D9">
      <w:pPr>
        <w:rPr>
          <w:rFonts w:ascii="Calibri" w:hAnsi="Calibri" w:cs="Calibri"/>
        </w:rPr>
      </w:pPr>
    </w:p>
    <w:p w14:paraId="4399CD47" w14:textId="77777777" w:rsidR="004A25D9" w:rsidRPr="00157A5E" w:rsidRDefault="004A25D9" w:rsidP="004A25D9">
      <w:pPr>
        <w:spacing w:line="276" w:lineRule="auto"/>
        <w:rPr>
          <w:rFonts w:ascii="Calibri" w:hAnsi="Calibri" w:cs="Calibri"/>
          <w:b/>
        </w:rPr>
      </w:pPr>
    </w:p>
    <w:p w14:paraId="7E64EF5C" w14:textId="77777777" w:rsidR="004A25D9" w:rsidRPr="00157A5E" w:rsidRDefault="004A25D9" w:rsidP="004A25D9">
      <w:pPr>
        <w:spacing w:line="276" w:lineRule="auto"/>
        <w:rPr>
          <w:rFonts w:ascii="Calibri" w:hAnsi="Calibri" w:cs="Calibri"/>
          <w:b/>
        </w:rPr>
      </w:pPr>
    </w:p>
    <w:p w14:paraId="013FA312" w14:textId="77777777" w:rsidR="004A25D9" w:rsidRPr="00157A5E" w:rsidRDefault="004A25D9" w:rsidP="004A25D9">
      <w:pPr>
        <w:spacing w:line="276" w:lineRule="auto"/>
        <w:rPr>
          <w:rFonts w:ascii="Calibri" w:hAnsi="Calibri" w:cs="Calibri"/>
          <w:b/>
        </w:rPr>
      </w:pPr>
    </w:p>
    <w:p w14:paraId="4E7318F8" w14:textId="77777777" w:rsidR="004A25D9" w:rsidRPr="00157A5E" w:rsidRDefault="004A25D9" w:rsidP="00794007">
      <w:pPr>
        <w:spacing w:line="276" w:lineRule="auto"/>
        <w:ind w:right="1980"/>
        <w:rPr>
          <w:rFonts w:ascii="Calibri" w:hAnsi="Calibri" w:cs="Calibri"/>
          <w:b/>
        </w:rPr>
      </w:pPr>
    </w:p>
    <w:p w14:paraId="0313F10B" w14:textId="67B64682" w:rsidR="00794007" w:rsidRPr="00157A5E" w:rsidRDefault="00794007" w:rsidP="004A25D9">
      <w:pPr>
        <w:spacing w:line="276" w:lineRule="auto"/>
        <w:ind w:left="2160" w:right="1980"/>
        <w:rPr>
          <w:rFonts w:ascii="Calibri" w:hAnsi="Calibri" w:cs="Calibri"/>
        </w:rPr>
      </w:pPr>
      <w:r w:rsidRPr="00157A5E">
        <w:rPr>
          <w:rFonts w:ascii="Calibri" w:hAnsi="Calibri" w:cs="Calibri"/>
          <w:b/>
        </w:rPr>
        <w:t>Out of Print Clause</w:t>
      </w:r>
      <w:r w:rsidR="004A25D9" w:rsidRPr="00157A5E">
        <w:rPr>
          <w:rFonts w:ascii="Calibri" w:hAnsi="Calibri" w:cs="Calibri"/>
          <w:b/>
        </w:rPr>
        <w:t>:</w:t>
      </w:r>
      <w:r w:rsidR="004A25D9" w:rsidRPr="00157A5E">
        <w:rPr>
          <w:rFonts w:ascii="Calibri" w:hAnsi="Calibri" w:cs="Calibri"/>
        </w:rPr>
        <w:t xml:space="preserve"> </w:t>
      </w:r>
      <w:r w:rsidR="00E56F1A" w:rsidRPr="00157A5E">
        <w:rPr>
          <w:rFonts w:ascii="Calibri" w:hAnsi="Calibri" w:cs="Calibri"/>
        </w:rPr>
        <w:t>In the event that the Work is out of print, Author may request to have all rights granted to Publisher under this agreement reverted. Work is not o</w:t>
      </w:r>
      <w:r w:rsidR="00C32BA5" w:rsidRPr="00157A5E">
        <w:rPr>
          <w:rFonts w:ascii="Calibri" w:hAnsi="Calibri" w:cs="Calibri"/>
        </w:rPr>
        <w:t>ut of print if it is available i</w:t>
      </w:r>
      <w:r w:rsidR="00E56F1A" w:rsidRPr="00157A5E">
        <w:rPr>
          <w:rFonts w:ascii="Calibri" w:hAnsi="Calibri" w:cs="Calibri"/>
        </w:rPr>
        <w:t xml:space="preserve">n any electronic or print-on-demand format. </w:t>
      </w:r>
    </w:p>
    <w:p w14:paraId="350996E9" w14:textId="77777777" w:rsidR="00794007" w:rsidRPr="00157A5E" w:rsidRDefault="00794007" w:rsidP="004A25D9">
      <w:pPr>
        <w:spacing w:line="276" w:lineRule="auto"/>
        <w:ind w:left="2160" w:right="1980"/>
        <w:rPr>
          <w:rFonts w:ascii="Calibri" w:hAnsi="Calibri" w:cs="Calibri"/>
        </w:rPr>
      </w:pPr>
    </w:p>
    <w:p w14:paraId="4BEF2BDB" w14:textId="77777777" w:rsidR="00794007" w:rsidRPr="00157A5E" w:rsidRDefault="00794007" w:rsidP="004A25D9">
      <w:pPr>
        <w:spacing w:line="276" w:lineRule="auto"/>
        <w:ind w:left="2160" w:right="1980"/>
        <w:rPr>
          <w:rFonts w:ascii="Calibri" w:hAnsi="Calibri" w:cs="Calibri"/>
        </w:rPr>
      </w:pPr>
    </w:p>
    <w:p w14:paraId="6E0B5449" w14:textId="77777777" w:rsidR="00EF686E" w:rsidRPr="00157A5E" w:rsidRDefault="00EF686E" w:rsidP="00EF686E">
      <w:pPr>
        <w:outlineLvl w:val="0"/>
        <w:rPr>
          <w:rFonts w:ascii="Calibri" w:hAnsi="Calibri" w:cs="Calibri"/>
        </w:rPr>
      </w:pPr>
      <w:r w:rsidRPr="00157A5E">
        <w:rPr>
          <w:rFonts w:ascii="Calibri" w:hAnsi="Calibri" w:cs="Calibri"/>
        </w:rPr>
        <w:t>Is Taylor eligible to exercise their reversion clause? Why or why not?</w:t>
      </w:r>
    </w:p>
    <w:p w14:paraId="43AD5879" w14:textId="77777777" w:rsidR="00EF686E" w:rsidRPr="00157A5E" w:rsidRDefault="00EF686E" w:rsidP="00EF686E">
      <w:pPr>
        <w:pStyle w:val="ListParagraph"/>
        <w:ind w:left="360"/>
        <w:rPr>
          <w:rFonts w:ascii="Calibri" w:hAnsi="Calibri" w:cs="Calibri"/>
        </w:rPr>
      </w:pPr>
    </w:p>
    <w:p w14:paraId="6C27FFC8" w14:textId="5F68C922" w:rsidR="00EF686E" w:rsidRPr="00157A5E" w:rsidRDefault="00EF686E" w:rsidP="00EF686E">
      <w:pPr>
        <w:rPr>
          <w:rFonts w:ascii="Calibri" w:hAnsi="Calibri" w:cs="Calibri"/>
        </w:rPr>
      </w:pPr>
      <w:r w:rsidRPr="00157A5E">
        <w:rPr>
          <w:rFonts w:ascii="Calibri" w:hAnsi="Calibri" w:cs="Calibri"/>
        </w:rPr>
        <w:t>_______</w:t>
      </w:r>
      <w:r w:rsidR="00353E42" w:rsidRPr="00157A5E">
        <w:rPr>
          <w:rFonts w:ascii="Calibri" w:hAnsi="Calibri" w:cs="Calibri"/>
        </w:rPr>
        <w:t>______</w:t>
      </w:r>
      <w:r w:rsidRPr="00157A5E">
        <w:rPr>
          <w:rFonts w:ascii="Calibri" w:hAnsi="Calibri" w:cs="Calibri"/>
        </w:rPr>
        <w:t>_______________________________________________________________________</w:t>
      </w:r>
    </w:p>
    <w:p w14:paraId="558C9617" w14:textId="77777777" w:rsidR="00EF686E" w:rsidRPr="00157A5E" w:rsidRDefault="00EF686E" w:rsidP="00EF686E">
      <w:pPr>
        <w:rPr>
          <w:rFonts w:ascii="Calibri" w:hAnsi="Calibri" w:cs="Calibri"/>
        </w:rPr>
      </w:pPr>
    </w:p>
    <w:p w14:paraId="0D66C2B4" w14:textId="51F902BB" w:rsidR="00EF686E" w:rsidRPr="00157A5E" w:rsidRDefault="00EF686E" w:rsidP="00EF686E">
      <w:pPr>
        <w:rPr>
          <w:rFonts w:ascii="Calibri" w:hAnsi="Calibri" w:cs="Calibri"/>
        </w:rPr>
      </w:pPr>
      <w:r w:rsidRPr="00157A5E">
        <w:rPr>
          <w:rFonts w:ascii="Calibri" w:hAnsi="Calibri" w:cs="Calibri"/>
        </w:rPr>
        <w:t>_______</w:t>
      </w:r>
      <w:r w:rsidR="00353E42" w:rsidRPr="00157A5E">
        <w:rPr>
          <w:rFonts w:ascii="Calibri" w:hAnsi="Calibri" w:cs="Calibri"/>
        </w:rPr>
        <w:t>______</w:t>
      </w:r>
      <w:r w:rsidRPr="00157A5E">
        <w:rPr>
          <w:rFonts w:ascii="Calibri" w:hAnsi="Calibri" w:cs="Calibri"/>
        </w:rPr>
        <w:t>_______________________________________________________________________</w:t>
      </w:r>
    </w:p>
    <w:p w14:paraId="3A483EC5" w14:textId="77777777" w:rsidR="00EF686E" w:rsidRPr="00157A5E" w:rsidRDefault="00EF686E" w:rsidP="00EF686E">
      <w:pPr>
        <w:rPr>
          <w:rFonts w:ascii="Calibri" w:hAnsi="Calibri" w:cs="Calibri"/>
        </w:rPr>
      </w:pPr>
    </w:p>
    <w:p w14:paraId="009CDB12" w14:textId="58EA908E" w:rsidR="00EF686E" w:rsidRPr="00157A5E" w:rsidRDefault="00EF686E" w:rsidP="00EF686E">
      <w:pPr>
        <w:rPr>
          <w:rFonts w:ascii="Calibri" w:hAnsi="Calibri" w:cs="Calibri"/>
        </w:rPr>
      </w:pPr>
      <w:r w:rsidRPr="00157A5E">
        <w:rPr>
          <w:rFonts w:ascii="Calibri" w:hAnsi="Calibri" w:cs="Calibri"/>
        </w:rPr>
        <w:t>________</w:t>
      </w:r>
      <w:r w:rsidR="00353E42" w:rsidRPr="00157A5E">
        <w:rPr>
          <w:rFonts w:ascii="Calibri" w:hAnsi="Calibri" w:cs="Calibri"/>
        </w:rPr>
        <w:t>______</w:t>
      </w:r>
      <w:r w:rsidRPr="00157A5E">
        <w:rPr>
          <w:rFonts w:ascii="Calibri" w:hAnsi="Calibri" w:cs="Calibri"/>
        </w:rPr>
        <w:t>______________________________________________________________________</w:t>
      </w:r>
    </w:p>
    <w:p w14:paraId="1C8CEA4D" w14:textId="77777777" w:rsidR="00EF686E" w:rsidRPr="00157A5E" w:rsidRDefault="00EF686E" w:rsidP="00EF686E">
      <w:pPr>
        <w:outlineLvl w:val="0"/>
        <w:rPr>
          <w:rFonts w:ascii="Calibri" w:hAnsi="Calibri" w:cs="Calibri"/>
        </w:rPr>
      </w:pPr>
    </w:p>
    <w:p w14:paraId="3D00ECF9"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678FDAAE" w14:textId="77777777" w:rsidR="00E56F1A" w:rsidRPr="00157A5E" w:rsidRDefault="00E56F1A">
      <w:pPr>
        <w:rPr>
          <w:rFonts w:ascii="Calibri" w:hAnsi="Calibri" w:cs="Calibri"/>
        </w:rPr>
      </w:pPr>
    </w:p>
    <w:p w14:paraId="14C53754"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6CE85D7E" w14:textId="77777777" w:rsidR="00E56F1A" w:rsidRPr="00157A5E" w:rsidRDefault="00E56F1A">
      <w:pPr>
        <w:rPr>
          <w:rFonts w:ascii="Calibri" w:hAnsi="Calibri" w:cs="Calibri"/>
        </w:rPr>
      </w:pPr>
    </w:p>
    <w:p w14:paraId="29578BA8"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1E9580A1" w14:textId="77777777" w:rsidR="00E56F1A" w:rsidRPr="00157A5E" w:rsidRDefault="00E56F1A">
      <w:pPr>
        <w:rPr>
          <w:rFonts w:ascii="Calibri" w:hAnsi="Calibri" w:cs="Calibri"/>
        </w:rPr>
      </w:pPr>
    </w:p>
    <w:p w14:paraId="687456BC"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4FAE41E6" w14:textId="77777777" w:rsidR="00794007" w:rsidRPr="00157A5E" w:rsidRDefault="00794007">
      <w:pPr>
        <w:rPr>
          <w:rFonts w:ascii="Calibri" w:eastAsiaTheme="majorEastAsia" w:hAnsi="Calibri" w:cs="Calibri"/>
          <w:b/>
          <w:bCs/>
          <w:color w:val="000000" w:themeColor="text1"/>
        </w:rPr>
      </w:pPr>
      <w:r w:rsidRPr="00157A5E">
        <w:rPr>
          <w:rFonts w:ascii="Calibri" w:hAnsi="Calibri" w:cs="Calibri"/>
        </w:rPr>
        <w:br w:type="page"/>
      </w:r>
    </w:p>
    <w:p w14:paraId="65055E9E" w14:textId="2D73D48F" w:rsidR="00EF686E" w:rsidRPr="00157A5E" w:rsidRDefault="00EF686E" w:rsidP="00353E42">
      <w:pPr>
        <w:pStyle w:val="Heading1"/>
        <w:rPr>
          <w:rFonts w:ascii="Calibri" w:hAnsi="Calibri" w:cs="Calibri"/>
        </w:rPr>
      </w:pPr>
      <w:r w:rsidRPr="00157A5E">
        <w:rPr>
          <w:rFonts w:ascii="Calibri" w:hAnsi="Calibri" w:cs="Calibri"/>
        </w:rPr>
        <w:lastRenderedPageBreak/>
        <w:t>Part 3</w:t>
      </w:r>
    </w:p>
    <w:p w14:paraId="1A0BC627" w14:textId="77777777" w:rsidR="00EF686E" w:rsidRPr="00157A5E" w:rsidRDefault="00EF686E" w:rsidP="00EF686E">
      <w:pPr>
        <w:outlineLvl w:val="0"/>
        <w:rPr>
          <w:rFonts w:ascii="Calibri" w:hAnsi="Calibri" w:cs="Calibri"/>
          <w:b/>
        </w:rPr>
      </w:pPr>
    </w:p>
    <w:p w14:paraId="50BD93CB" w14:textId="5C3230EA" w:rsidR="00EF686E" w:rsidRPr="00157A5E" w:rsidRDefault="00EF686E" w:rsidP="00353E42">
      <w:pPr>
        <w:spacing w:line="276" w:lineRule="auto"/>
        <w:outlineLvl w:val="0"/>
        <w:rPr>
          <w:rFonts w:ascii="Calibri" w:hAnsi="Calibri" w:cs="Calibri"/>
        </w:rPr>
      </w:pPr>
      <w:r w:rsidRPr="00157A5E">
        <w:rPr>
          <w:rFonts w:ascii="Calibri" w:hAnsi="Calibri" w:cs="Calibri"/>
        </w:rPr>
        <w:t>Taylor’s reversion clause is triggered when their book is “out of print.” Since their contract defines a book as “in print” if it is available in any form, print or electronic,</w:t>
      </w:r>
      <w:r w:rsidR="00551B0A" w:rsidRPr="00157A5E">
        <w:rPr>
          <w:rFonts w:ascii="Calibri" w:hAnsi="Calibri" w:cs="Calibri"/>
        </w:rPr>
        <w:t xml:space="preserve"> and their book is available as an ebook,</w:t>
      </w:r>
      <w:r w:rsidRPr="00157A5E">
        <w:rPr>
          <w:rFonts w:ascii="Calibri" w:hAnsi="Calibri" w:cs="Calibri"/>
        </w:rPr>
        <w:t xml:space="preserve"> Taylor determines that they are not eligible to exercise their reversion clause. </w:t>
      </w:r>
    </w:p>
    <w:p w14:paraId="13DBB37B" w14:textId="77777777" w:rsidR="00EF686E" w:rsidRPr="00157A5E" w:rsidRDefault="00EF686E" w:rsidP="00EF686E">
      <w:pPr>
        <w:outlineLvl w:val="0"/>
        <w:rPr>
          <w:rFonts w:ascii="Calibri" w:hAnsi="Calibri" w:cs="Calibri"/>
        </w:rPr>
      </w:pPr>
    </w:p>
    <w:p w14:paraId="6E813C43" w14:textId="77777777" w:rsidR="00EF686E" w:rsidRPr="00157A5E" w:rsidRDefault="00EF686E" w:rsidP="00EF686E">
      <w:pPr>
        <w:outlineLvl w:val="0"/>
        <w:rPr>
          <w:rFonts w:ascii="Calibri" w:hAnsi="Calibri" w:cs="Calibri"/>
        </w:rPr>
      </w:pPr>
      <w:r w:rsidRPr="00157A5E">
        <w:rPr>
          <w:rFonts w:ascii="Calibri" w:hAnsi="Calibri" w:cs="Calibri"/>
        </w:rPr>
        <w:t>How can Taylor make a case for reversion?</w:t>
      </w:r>
    </w:p>
    <w:p w14:paraId="6EF1DA96" w14:textId="77777777" w:rsidR="00EF686E" w:rsidRPr="00157A5E" w:rsidRDefault="00EF686E" w:rsidP="00EF686E">
      <w:pPr>
        <w:rPr>
          <w:rFonts w:ascii="Calibri" w:hAnsi="Calibri" w:cs="Calibri"/>
        </w:rPr>
      </w:pPr>
    </w:p>
    <w:p w14:paraId="4F5B9D42" w14:textId="39B88282" w:rsidR="00EF686E" w:rsidRPr="00157A5E" w:rsidRDefault="00EF686E" w:rsidP="00EF686E">
      <w:pPr>
        <w:rPr>
          <w:rFonts w:ascii="Calibri" w:hAnsi="Calibri" w:cs="Calibri"/>
        </w:rPr>
      </w:pPr>
      <w:r w:rsidRPr="00157A5E">
        <w:rPr>
          <w:rFonts w:ascii="Calibri" w:hAnsi="Calibri" w:cs="Calibri"/>
        </w:rPr>
        <w:t>__________________</w:t>
      </w:r>
      <w:r w:rsidR="00353E42" w:rsidRPr="00157A5E">
        <w:rPr>
          <w:rFonts w:ascii="Calibri" w:hAnsi="Calibri" w:cs="Calibri"/>
        </w:rPr>
        <w:t>______</w:t>
      </w:r>
      <w:r w:rsidRPr="00157A5E">
        <w:rPr>
          <w:rFonts w:ascii="Calibri" w:hAnsi="Calibri" w:cs="Calibri"/>
        </w:rPr>
        <w:t>____________________________________________________________</w:t>
      </w:r>
    </w:p>
    <w:p w14:paraId="08ACD50E" w14:textId="77777777" w:rsidR="00EF686E" w:rsidRPr="00157A5E" w:rsidRDefault="00EF686E" w:rsidP="00EF686E">
      <w:pPr>
        <w:rPr>
          <w:rFonts w:ascii="Calibri" w:hAnsi="Calibri" w:cs="Calibri"/>
        </w:rPr>
      </w:pPr>
    </w:p>
    <w:p w14:paraId="69763906" w14:textId="767396C8" w:rsidR="00EF686E" w:rsidRPr="00157A5E" w:rsidRDefault="00EF686E" w:rsidP="00EF686E">
      <w:pPr>
        <w:rPr>
          <w:rFonts w:ascii="Calibri" w:hAnsi="Calibri" w:cs="Calibri"/>
        </w:rPr>
      </w:pPr>
      <w:r w:rsidRPr="00157A5E">
        <w:rPr>
          <w:rFonts w:ascii="Calibri" w:hAnsi="Calibri" w:cs="Calibri"/>
        </w:rPr>
        <w:t>_________________</w:t>
      </w:r>
      <w:r w:rsidR="00353E42" w:rsidRPr="00157A5E">
        <w:rPr>
          <w:rFonts w:ascii="Calibri" w:hAnsi="Calibri" w:cs="Calibri"/>
        </w:rPr>
        <w:t>______</w:t>
      </w:r>
      <w:r w:rsidRPr="00157A5E">
        <w:rPr>
          <w:rFonts w:ascii="Calibri" w:hAnsi="Calibri" w:cs="Calibri"/>
        </w:rPr>
        <w:t>_____________________________________________________________</w:t>
      </w:r>
    </w:p>
    <w:p w14:paraId="77768B32" w14:textId="77777777" w:rsidR="00EF686E" w:rsidRPr="00157A5E" w:rsidRDefault="00EF686E" w:rsidP="00EF686E">
      <w:pPr>
        <w:rPr>
          <w:rFonts w:ascii="Calibri" w:hAnsi="Calibri" w:cs="Calibri"/>
        </w:rPr>
      </w:pPr>
    </w:p>
    <w:p w14:paraId="19C6EC36" w14:textId="4B6C6387" w:rsidR="00EF686E" w:rsidRPr="00157A5E" w:rsidRDefault="00EF686E" w:rsidP="00EF686E">
      <w:pPr>
        <w:rPr>
          <w:rFonts w:ascii="Calibri" w:hAnsi="Calibri" w:cs="Calibri"/>
        </w:rPr>
      </w:pPr>
      <w:r w:rsidRPr="00157A5E">
        <w:rPr>
          <w:rFonts w:ascii="Calibri" w:hAnsi="Calibri" w:cs="Calibri"/>
        </w:rPr>
        <w:t>_________________</w:t>
      </w:r>
      <w:r w:rsidR="00353E42" w:rsidRPr="00157A5E">
        <w:rPr>
          <w:rFonts w:ascii="Calibri" w:hAnsi="Calibri" w:cs="Calibri"/>
        </w:rPr>
        <w:t>______</w:t>
      </w:r>
      <w:r w:rsidRPr="00157A5E">
        <w:rPr>
          <w:rFonts w:ascii="Calibri" w:hAnsi="Calibri" w:cs="Calibri"/>
        </w:rPr>
        <w:t>_____________________________________________________________</w:t>
      </w:r>
    </w:p>
    <w:p w14:paraId="7F608E95" w14:textId="77777777" w:rsidR="00EF686E" w:rsidRPr="00157A5E" w:rsidRDefault="00EF686E" w:rsidP="00EF686E">
      <w:pPr>
        <w:outlineLvl w:val="0"/>
        <w:rPr>
          <w:rFonts w:ascii="Calibri" w:hAnsi="Calibri" w:cs="Calibri"/>
        </w:rPr>
      </w:pPr>
    </w:p>
    <w:p w14:paraId="6C0B9A04"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149EABE7" w14:textId="77777777" w:rsidR="00E56F1A" w:rsidRPr="00157A5E" w:rsidRDefault="00E56F1A" w:rsidP="00EF686E">
      <w:pPr>
        <w:outlineLvl w:val="0"/>
        <w:rPr>
          <w:rFonts w:ascii="Calibri" w:hAnsi="Calibri" w:cs="Calibri"/>
        </w:rPr>
      </w:pPr>
    </w:p>
    <w:p w14:paraId="3C1F65DF"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26357664" w14:textId="77777777" w:rsidR="00E56F1A" w:rsidRPr="00157A5E" w:rsidRDefault="00E56F1A" w:rsidP="00EF686E">
      <w:pPr>
        <w:outlineLvl w:val="0"/>
        <w:rPr>
          <w:rFonts w:ascii="Calibri" w:hAnsi="Calibri" w:cs="Calibri"/>
        </w:rPr>
      </w:pPr>
    </w:p>
    <w:p w14:paraId="364AE875" w14:textId="77777777" w:rsidR="00EF686E" w:rsidRPr="00157A5E" w:rsidRDefault="00EF686E" w:rsidP="00EF686E">
      <w:pPr>
        <w:outlineLvl w:val="0"/>
        <w:rPr>
          <w:rFonts w:ascii="Calibri" w:hAnsi="Calibri" w:cs="Calibri"/>
        </w:rPr>
      </w:pPr>
      <w:r w:rsidRPr="00157A5E">
        <w:rPr>
          <w:rFonts w:ascii="Calibri" w:hAnsi="Calibri" w:cs="Calibri"/>
        </w:rPr>
        <w:t>What other options can Taylor explore with Palpable Publisher?</w:t>
      </w:r>
    </w:p>
    <w:p w14:paraId="16DE3620" w14:textId="77777777" w:rsidR="00EF686E" w:rsidRPr="00157A5E" w:rsidRDefault="00EF686E" w:rsidP="00EF686E">
      <w:pPr>
        <w:rPr>
          <w:rFonts w:ascii="Calibri" w:hAnsi="Calibri" w:cs="Calibri"/>
        </w:rPr>
      </w:pPr>
    </w:p>
    <w:p w14:paraId="65CF2916" w14:textId="16671F63" w:rsidR="00EF686E" w:rsidRPr="00157A5E" w:rsidRDefault="00EF686E" w:rsidP="00EF686E">
      <w:pPr>
        <w:rPr>
          <w:rFonts w:ascii="Calibri" w:hAnsi="Calibri" w:cs="Calibri"/>
        </w:rPr>
      </w:pPr>
      <w:r w:rsidRPr="00157A5E">
        <w:rPr>
          <w:rFonts w:ascii="Calibri" w:hAnsi="Calibri" w:cs="Calibri"/>
        </w:rPr>
        <w:t>_______</w:t>
      </w:r>
      <w:r w:rsidR="00353E42" w:rsidRPr="00157A5E">
        <w:rPr>
          <w:rFonts w:ascii="Calibri" w:hAnsi="Calibri" w:cs="Calibri"/>
        </w:rPr>
        <w:t>______</w:t>
      </w:r>
      <w:r w:rsidRPr="00157A5E">
        <w:rPr>
          <w:rFonts w:ascii="Calibri" w:hAnsi="Calibri" w:cs="Calibri"/>
        </w:rPr>
        <w:t>_______________________________________________________________________</w:t>
      </w:r>
    </w:p>
    <w:p w14:paraId="57682B6D" w14:textId="77777777" w:rsidR="00EF686E" w:rsidRPr="00157A5E" w:rsidRDefault="00EF686E" w:rsidP="00EF686E">
      <w:pPr>
        <w:rPr>
          <w:rFonts w:ascii="Calibri" w:hAnsi="Calibri" w:cs="Calibri"/>
        </w:rPr>
      </w:pPr>
    </w:p>
    <w:p w14:paraId="5256C6CB" w14:textId="0D2BD822" w:rsidR="00EF686E" w:rsidRPr="00157A5E" w:rsidRDefault="00EF686E" w:rsidP="00EF686E">
      <w:pPr>
        <w:rPr>
          <w:rFonts w:ascii="Calibri" w:hAnsi="Calibri" w:cs="Calibri"/>
        </w:rPr>
      </w:pPr>
      <w:r w:rsidRPr="00157A5E">
        <w:rPr>
          <w:rFonts w:ascii="Calibri" w:hAnsi="Calibri" w:cs="Calibri"/>
        </w:rPr>
        <w:t>_______</w:t>
      </w:r>
      <w:r w:rsidR="00353E42" w:rsidRPr="00157A5E">
        <w:rPr>
          <w:rFonts w:ascii="Calibri" w:hAnsi="Calibri" w:cs="Calibri"/>
        </w:rPr>
        <w:t>______</w:t>
      </w:r>
      <w:r w:rsidRPr="00157A5E">
        <w:rPr>
          <w:rFonts w:ascii="Calibri" w:hAnsi="Calibri" w:cs="Calibri"/>
        </w:rPr>
        <w:t>_______________________________________________________________________</w:t>
      </w:r>
    </w:p>
    <w:p w14:paraId="66153D8C" w14:textId="77777777" w:rsidR="00EF686E" w:rsidRPr="00157A5E" w:rsidRDefault="00EF686E" w:rsidP="00EF686E">
      <w:pPr>
        <w:rPr>
          <w:rFonts w:ascii="Calibri" w:hAnsi="Calibri" w:cs="Calibri"/>
        </w:rPr>
      </w:pPr>
    </w:p>
    <w:p w14:paraId="57E721F6" w14:textId="660F488C" w:rsidR="00EF686E" w:rsidRPr="00157A5E" w:rsidRDefault="00EF686E" w:rsidP="00EF686E">
      <w:pPr>
        <w:rPr>
          <w:rFonts w:ascii="Calibri" w:hAnsi="Calibri" w:cs="Calibri"/>
        </w:rPr>
      </w:pPr>
      <w:r w:rsidRPr="00157A5E">
        <w:rPr>
          <w:rFonts w:ascii="Calibri" w:hAnsi="Calibri" w:cs="Calibri"/>
        </w:rPr>
        <w:t>_______</w:t>
      </w:r>
      <w:r w:rsidR="00353E42" w:rsidRPr="00157A5E">
        <w:rPr>
          <w:rFonts w:ascii="Calibri" w:hAnsi="Calibri" w:cs="Calibri"/>
        </w:rPr>
        <w:t>______</w:t>
      </w:r>
      <w:r w:rsidRPr="00157A5E">
        <w:rPr>
          <w:rFonts w:ascii="Calibri" w:hAnsi="Calibri" w:cs="Calibri"/>
        </w:rPr>
        <w:t>_______________________________________________________________________</w:t>
      </w:r>
    </w:p>
    <w:p w14:paraId="590ECF1B" w14:textId="77777777" w:rsidR="00EF686E" w:rsidRPr="00157A5E" w:rsidRDefault="00EF686E" w:rsidP="00EF686E">
      <w:pPr>
        <w:rPr>
          <w:rFonts w:ascii="Calibri" w:hAnsi="Calibri" w:cs="Calibri"/>
        </w:rPr>
      </w:pPr>
    </w:p>
    <w:p w14:paraId="282C1880" w14:textId="735F058A" w:rsidR="00EF686E" w:rsidRPr="00157A5E" w:rsidRDefault="00EF686E" w:rsidP="00EF686E">
      <w:pPr>
        <w:rPr>
          <w:rFonts w:ascii="Calibri" w:hAnsi="Calibri" w:cs="Calibri"/>
        </w:rPr>
      </w:pPr>
      <w:r w:rsidRPr="00157A5E">
        <w:rPr>
          <w:rFonts w:ascii="Calibri" w:hAnsi="Calibri" w:cs="Calibri"/>
        </w:rPr>
        <w:t>______</w:t>
      </w:r>
      <w:r w:rsidR="00353E42" w:rsidRPr="00157A5E">
        <w:rPr>
          <w:rFonts w:ascii="Calibri" w:hAnsi="Calibri" w:cs="Calibri"/>
        </w:rPr>
        <w:t>______</w:t>
      </w:r>
      <w:r w:rsidRPr="00157A5E">
        <w:rPr>
          <w:rFonts w:ascii="Calibri" w:hAnsi="Calibri" w:cs="Calibri"/>
        </w:rPr>
        <w:t>________________________________________________________________________</w:t>
      </w:r>
    </w:p>
    <w:p w14:paraId="1F646171" w14:textId="77777777" w:rsidR="00353E42" w:rsidRPr="00157A5E" w:rsidRDefault="00353E42" w:rsidP="00EF686E">
      <w:pPr>
        <w:rPr>
          <w:rFonts w:ascii="Calibri" w:hAnsi="Calibri" w:cs="Calibri"/>
        </w:rPr>
      </w:pPr>
    </w:p>
    <w:p w14:paraId="14BD897C" w14:textId="68FAEB83" w:rsidR="00EF686E" w:rsidRPr="00157A5E" w:rsidRDefault="00353E42" w:rsidP="00EF686E">
      <w:pPr>
        <w:rPr>
          <w:rFonts w:ascii="Calibri" w:hAnsi="Calibri" w:cs="Calibri"/>
        </w:rPr>
      </w:pPr>
      <w:r w:rsidRPr="00157A5E">
        <w:rPr>
          <w:rFonts w:ascii="Calibri" w:hAnsi="Calibri" w:cs="Calibri"/>
        </w:rPr>
        <w:t>______</w:t>
      </w:r>
      <w:r w:rsidR="00EF686E" w:rsidRPr="00157A5E">
        <w:rPr>
          <w:rFonts w:ascii="Calibri" w:hAnsi="Calibri" w:cs="Calibri"/>
        </w:rPr>
        <w:t>______________________________________________________________________________</w:t>
      </w:r>
    </w:p>
    <w:p w14:paraId="465028DF" w14:textId="77777777" w:rsidR="00EF686E" w:rsidRPr="00157A5E" w:rsidRDefault="00EF686E" w:rsidP="00EF686E">
      <w:pPr>
        <w:rPr>
          <w:rFonts w:ascii="Calibri" w:hAnsi="Calibri" w:cs="Calibri"/>
        </w:rPr>
      </w:pPr>
    </w:p>
    <w:p w14:paraId="352847D3"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65583148" w14:textId="77777777" w:rsidR="00E56F1A" w:rsidRPr="00157A5E" w:rsidRDefault="00E56F1A">
      <w:pPr>
        <w:rPr>
          <w:rFonts w:ascii="Calibri" w:hAnsi="Calibri" w:cs="Calibri"/>
        </w:rPr>
      </w:pPr>
    </w:p>
    <w:p w14:paraId="036789E0"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36210D60" w14:textId="77777777" w:rsidR="00E56F1A" w:rsidRPr="00157A5E" w:rsidRDefault="00E56F1A">
      <w:pPr>
        <w:rPr>
          <w:rFonts w:ascii="Calibri" w:hAnsi="Calibri" w:cs="Calibri"/>
        </w:rPr>
      </w:pPr>
    </w:p>
    <w:p w14:paraId="2D0ADBCA" w14:textId="77777777" w:rsidR="00E56F1A" w:rsidRPr="00157A5E" w:rsidRDefault="00E56F1A" w:rsidP="00E56F1A">
      <w:pPr>
        <w:rPr>
          <w:rFonts w:ascii="Calibri" w:hAnsi="Calibri" w:cs="Calibri"/>
        </w:rPr>
      </w:pPr>
      <w:r w:rsidRPr="00157A5E">
        <w:rPr>
          <w:rFonts w:ascii="Calibri" w:hAnsi="Calibri" w:cs="Calibri"/>
        </w:rPr>
        <w:t>____________________________________________________________________________________</w:t>
      </w:r>
    </w:p>
    <w:p w14:paraId="3E60C036" w14:textId="77777777" w:rsidR="00E56F1A" w:rsidRPr="00157A5E" w:rsidRDefault="00E56F1A">
      <w:pPr>
        <w:rPr>
          <w:rFonts w:ascii="Calibri" w:eastAsiaTheme="majorEastAsia" w:hAnsi="Calibri" w:cs="Calibri"/>
          <w:b/>
          <w:bCs/>
          <w:color w:val="000000" w:themeColor="text1"/>
        </w:rPr>
      </w:pPr>
      <w:r w:rsidRPr="00157A5E">
        <w:rPr>
          <w:rFonts w:ascii="Calibri" w:hAnsi="Calibri" w:cs="Calibri"/>
        </w:rPr>
        <w:br w:type="page"/>
      </w:r>
    </w:p>
    <w:p w14:paraId="0C3CD027" w14:textId="4CB45D01" w:rsidR="00EF686E" w:rsidRPr="00157A5E" w:rsidRDefault="00EF686E" w:rsidP="00353E42">
      <w:pPr>
        <w:pStyle w:val="Heading1"/>
        <w:rPr>
          <w:rFonts w:ascii="Calibri" w:hAnsi="Calibri" w:cs="Calibri"/>
        </w:rPr>
      </w:pPr>
      <w:r w:rsidRPr="00157A5E">
        <w:rPr>
          <w:rFonts w:ascii="Calibri" w:hAnsi="Calibri" w:cs="Calibri"/>
        </w:rPr>
        <w:lastRenderedPageBreak/>
        <w:t>Conclusion</w:t>
      </w:r>
    </w:p>
    <w:p w14:paraId="140A132E" w14:textId="77777777" w:rsidR="00EF686E" w:rsidRPr="00157A5E" w:rsidRDefault="00EF686E" w:rsidP="00EF686E">
      <w:pPr>
        <w:rPr>
          <w:rFonts w:ascii="Calibri" w:hAnsi="Calibri" w:cs="Calibri"/>
          <w:b/>
        </w:rPr>
      </w:pPr>
    </w:p>
    <w:p w14:paraId="618E893A" w14:textId="0C8B7321" w:rsidR="00EF686E" w:rsidRPr="00157A5E" w:rsidRDefault="00EF686E" w:rsidP="00353E42">
      <w:pPr>
        <w:spacing w:line="276" w:lineRule="auto"/>
        <w:outlineLvl w:val="0"/>
        <w:rPr>
          <w:rFonts w:ascii="Calibri" w:hAnsi="Calibri" w:cs="Calibri"/>
        </w:rPr>
      </w:pPr>
      <w:r w:rsidRPr="00157A5E">
        <w:rPr>
          <w:rFonts w:ascii="Calibri" w:hAnsi="Calibri" w:cs="Calibri"/>
        </w:rPr>
        <w:t xml:space="preserve">Taylor knows that there are other ways to make a case for meeting their goals in the absence of eligibility to revert under the terms of the contract. There’s no one right answer, and you may have come up with other options for Taylor, but here are some options they might consider: </w:t>
      </w:r>
    </w:p>
    <w:p w14:paraId="343354C8" w14:textId="77777777" w:rsidR="00EF686E" w:rsidRPr="00157A5E" w:rsidRDefault="00EF686E" w:rsidP="00EF686E">
      <w:pPr>
        <w:outlineLvl w:val="0"/>
        <w:rPr>
          <w:rFonts w:ascii="Calibri" w:hAnsi="Calibri" w:cs="Calibri"/>
        </w:rPr>
      </w:pPr>
    </w:p>
    <w:p w14:paraId="7F8E4106" w14:textId="77777777" w:rsidR="006E17B9" w:rsidRPr="00157A5E" w:rsidRDefault="00EF686E" w:rsidP="006E17B9">
      <w:pPr>
        <w:pStyle w:val="ListParagraph"/>
        <w:numPr>
          <w:ilvl w:val="2"/>
          <w:numId w:val="8"/>
        </w:numPr>
        <w:spacing w:line="276" w:lineRule="auto"/>
        <w:outlineLvl w:val="0"/>
        <w:rPr>
          <w:rFonts w:ascii="Calibri" w:hAnsi="Calibri" w:cs="Calibri"/>
        </w:rPr>
      </w:pPr>
      <w:r w:rsidRPr="00157A5E">
        <w:rPr>
          <w:rFonts w:ascii="Calibri" w:hAnsi="Calibri" w:cs="Calibri"/>
        </w:rPr>
        <w:t xml:space="preserve">If Taylor has a good relationship with their publisher, it may not make sense to revert rights and deal with the hassle of self-publishing or seeking a new publisher for a print version. Instead, Taylor might start by asking whether Palpable would consider releasing a print version, bolstering their argument by pointing to the potential additional sales to students of the professors who have indicated they would add </w:t>
      </w:r>
      <w:r w:rsidRPr="00157A5E">
        <w:rPr>
          <w:rFonts w:ascii="Calibri" w:hAnsi="Calibri" w:cs="Calibri"/>
          <w:i/>
        </w:rPr>
        <w:t xml:space="preserve">TTT </w:t>
      </w:r>
      <w:r w:rsidRPr="00157A5E">
        <w:rPr>
          <w:rFonts w:ascii="Calibri" w:hAnsi="Calibri" w:cs="Calibri"/>
        </w:rPr>
        <w:t>as required reading if it is available in print form.</w:t>
      </w:r>
    </w:p>
    <w:p w14:paraId="2C9AE586" w14:textId="77777777" w:rsidR="006E17B9" w:rsidRPr="00157A5E" w:rsidRDefault="006E17B9" w:rsidP="006E17B9">
      <w:pPr>
        <w:pStyle w:val="ListParagraph"/>
        <w:spacing w:line="276" w:lineRule="auto"/>
        <w:outlineLvl w:val="0"/>
        <w:rPr>
          <w:rFonts w:ascii="Calibri" w:hAnsi="Calibri" w:cs="Calibri"/>
        </w:rPr>
      </w:pPr>
    </w:p>
    <w:p w14:paraId="4A809C64" w14:textId="77777777" w:rsidR="00551B0A" w:rsidRPr="00157A5E" w:rsidRDefault="00EF686E" w:rsidP="00551B0A">
      <w:pPr>
        <w:pStyle w:val="ListParagraph"/>
        <w:numPr>
          <w:ilvl w:val="2"/>
          <w:numId w:val="8"/>
        </w:numPr>
        <w:spacing w:line="276" w:lineRule="auto"/>
        <w:outlineLvl w:val="0"/>
        <w:rPr>
          <w:rFonts w:ascii="Calibri" w:hAnsi="Calibri" w:cs="Calibri"/>
          <w:b/>
          <w:color w:val="000000" w:themeColor="text1"/>
        </w:rPr>
      </w:pPr>
      <w:r w:rsidRPr="00157A5E">
        <w:rPr>
          <w:rFonts w:ascii="Calibri" w:hAnsi="Calibri" w:cs="Calibri"/>
        </w:rPr>
        <w:t>If Palpable is not interested in or able to release a print version, Taylor can make a compelling case for rights reversion by pointing to the fact that Palpable is not utilizing the rights that Taylor granted in the contract and Taylor is therefore missing out on potential revenue from the title. If Taylor pursues this option, they may want to ask that Parable just return rights to the book in print form, allowing Palpable to continue to sell the e-book version.</w:t>
      </w:r>
    </w:p>
    <w:p w14:paraId="190FE53A" w14:textId="77777777" w:rsidR="00551B0A" w:rsidRPr="00157A5E" w:rsidRDefault="00551B0A" w:rsidP="00551B0A">
      <w:pPr>
        <w:pStyle w:val="ListParagraph"/>
        <w:numPr>
          <w:ilvl w:val="0"/>
          <w:numId w:val="8"/>
        </w:numPr>
        <w:spacing w:line="276" w:lineRule="auto"/>
        <w:rPr>
          <w:rStyle w:val="FootnoteReference"/>
          <w:rFonts w:ascii="Calibri" w:hAnsi="Calibri" w:cs="Calibri"/>
          <w:color w:val="FFFFFF" w:themeColor="background1"/>
        </w:rPr>
      </w:pPr>
      <w:r w:rsidRPr="00157A5E">
        <w:rPr>
          <w:rStyle w:val="FootnoteReference"/>
          <w:rFonts w:ascii="Calibri" w:hAnsi="Calibri" w:cs="Calibri"/>
          <w:color w:val="FFFFFF" w:themeColor="background1"/>
        </w:rPr>
        <w:footnoteReference w:customMarkFollows="1" w:id="1"/>
        <w:t>.</w:t>
      </w:r>
    </w:p>
    <w:p w14:paraId="5BD5F9E7" w14:textId="42FC82EB" w:rsidR="00551B0A" w:rsidRPr="00157A5E" w:rsidRDefault="00EF686E" w:rsidP="00551B0A">
      <w:pPr>
        <w:spacing w:line="276" w:lineRule="auto"/>
        <w:outlineLvl w:val="0"/>
        <w:rPr>
          <w:rStyle w:val="SubtleEmphasis"/>
          <w:rFonts w:ascii="Calibri" w:hAnsi="Calibri" w:cs="Calibri"/>
          <w:b/>
          <w:color w:val="000000" w:themeColor="text1"/>
        </w:rPr>
      </w:pPr>
      <w:r w:rsidRPr="00157A5E">
        <w:rPr>
          <w:rFonts w:ascii="Calibri" w:hAnsi="Calibri" w:cs="Calibri"/>
        </w:rPr>
        <w:t xml:space="preserve"> </w:t>
      </w:r>
    </w:p>
    <w:p w14:paraId="20DAC318" w14:textId="5CCC5E9A" w:rsidR="00C7769C" w:rsidRPr="00157A5E" w:rsidRDefault="00C7769C" w:rsidP="00551B0A">
      <w:pPr>
        <w:rPr>
          <w:rStyle w:val="SubtleEmphasis"/>
          <w:rFonts w:ascii="Calibri" w:hAnsi="Calibri" w:cs="Calibri"/>
          <w:b/>
          <w:color w:val="000000" w:themeColor="text1"/>
        </w:rPr>
      </w:pPr>
    </w:p>
    <w:sectPr w:rsidR="00C7769C" w:rsidRPr="00157A5E" w:rsidSect="00C7769C">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7DD8" w14:textId="77777777" w:rsidR="008615A7" w:rsidRDefault="008615A7" w:rsidP="00416C20">
      <w:r>
        <w:separator/>
      </w:r>
    </w:p>
  </w:endnote>
  <w:endnote w:type="continuationSeparator" w:id="0">
    <w:p w14:paraId="469EAD21" w14:textId="77777777" w:rsidR="008615A7" w:rsidRDefault="008615A7"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C67">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7CF1" w14:textId="77777777" w:rsidR="008615A7" w:rsidRDefault="008615A7" w:rsidP="00416C20">
      <w:r>
        <w:separator/>
      </w:r>
    </w:p>
  </w:footnote>
  <w:footnote w:type="continuationSeparator" w:id="0">
    <w:p w14:paraId="65B50418" w14:textId="77777777" w:rsidR="008615A7" w:rsidRDefault="008615A7" w:rsidP="00416C20">
      <w:r>
        <w:continuationSeparator/>
      </w:r>
    </w:p>
  </w:footnote>
  <w:footnote w:id="1">
    <w:p w14:paraId="11D9AF7A" w14:textId="77777777" w:rsidR="00551B0A" w:rsidRPr="00FE1D48" w:rsidRDefault="00551B0A" w:rsidP="00551B0A">
      <w:pPr>
        <w:pStyle w:val="Quote"/>
        <w:shd w:val="clear" w:color="auto" w:fill="E2EFD9" w:themeFill="accent6"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672D8C49" w14:textId="77777777" w:rsidR="00551B0A" w:rsidRPr="004010B0" w:rsidRDefault="00551B0A" w:rsidP="00551B0A">
      <w:pPr>
        <w:pStyle w:val="Quote"/>
        <w:shd w:val="clear" w:color="auto" w:fill="E2EFD9" w:themeFill="accent6"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Pr>
          <w:rStyle w:val="SubtleEmphasis"/>
          <w:b/>
          <w:color w:val="000000" w:themeColor="text1"/>
        </w:rPr>
        <w:t>materials</w:t>
      </w:r>
      <w:r w:rsidRPr="00FE1D48">
        <w:rPr>
          <w:rStyle w:val="SubtleEmphasis"/>
          <w:b/>
          <w:color w:val="000000" w:themeColor="text1"/>
        </w:rPr>
        <w:t>.</w:t>
      </w:r>
    </w:p>
    <w:p w14:paraId="596BAE1D" w14:textId="77777777" w:rsidR="00551B0A" w:rsidRDefault="00551B0A" w:rsidP="00551B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64CB"/>
    <w:multiLevelType w:val="hybridMultilevel"/>
    <w:tmpl w:val="9AC62370"/>
    <w:lvl w:ilvl="0" w:tplc="ECC62898">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F24CCF4A">
      <w:start w:val="1"/>
      <w:numFmt w:val="bullet"/>
      <w:lvlText w:val="•"/>
      <w:lvlJc w:val="left"/>
      <w:pPr>
        <w:ind w:left="720" w:hanging="360"/>
      </w:pPr>
      <w:rPr>
        <w:rFonts w:hint="default"/>
        <w:color w:val="538135" w:themeColor="accent6" w:themeShade="BF"/>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934E51"/>
    <w:multiLevelType w:val="hybridMultilevel"/>
    <w:tmpl w:val="B70CBA2E"/>
    <w:lvl w:ilvl="0" w:tplc="0DA86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423B2"/>
    <w:multiLevelType w:val="hybridMultilevel"/>
    <w:tmpl w:val="4CD613AA"/>
    <w:lvl w:ilvl="0" w:tplc="00000065">
      <w:start w:val="1"/>
      <w:numFmt w:val="bullet"/>
      <w:lvlText w:val="•"/>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4A21"/>
    <w:rsid w:val="000655D7"/>
    <w:rsid w:val="00065608"/>
    <w:rsid w:val="00066EFB"/>
    <w:rsid w:val="0007767F"/>
    <w:rsid w:val="000914F9"/>
    <w:rsid w:val="000F7032"/>
    <w:rsid w:val="00100040"/>
    <w:rsid w:val="0010389C"/>
    <w:rsid w:val="00157A5E"/>
    <w:rsid w:val="00165149"/>
    <w:rsid w:val="00170CA5"/>
    <w:rsid w:val="001A5F65"/>
    <w:rsid w:val="001D3DF1"/>
    <w:rsid w:val="00200D53"/>
    <w:rsid w:val="00233E90"/>
    <w:rsid w:val="002662ED"/>
    <w:rsid w:val="002F47F1"/>
    <w:rsid w:val="00322C67"/>
    <w:rsid w:val="00347C09"/>
    <w:rsid w:val="003502FE"/>
    <w:rsid w:val="00353E42"/>
    <w:rsid w:val="003B0B4B"/>
    <w:rsid w:val="0040393C"/>
    <w:rsid w:val="00404454"/>
    <w:rsid w:val="00416C20"/>
    <w:rsid w:val="00435075"/>
    <w:rsid w:val="00447D01"/>
    <w:rsid w:val="00497065"/>
    <w:rsid w:val="004A25D9"/>
    <w:rsid w:val="004A32C2"/>
    <w:rsid w:val="0054437F"/>
    <w:rsid w:val="00551B0A"/>
    <w:rsid w:val="00556BF6"/>
    <w:rsid w:val="00563429"/>
    <w:rsid w:val="005746D1"/>
    <w:rsid w:val="005864CD"/>
    <w:rsid w:val="005945AB"/>
    <w:rsid w:val="005A7E35"/>
    <w:rsid w:val="0062721C"/>
    <w:rsid w:val="00687C9F"/>
    <w:rsid w:val="006A04A7"/>
    <w:rsid w:val="006C418A"/>
    <w:rsid w:val="006E17B9"/>
    <w:rsid w:val="006F40D9"/>
    <w:rsid w:val="00727BCE"/>
    <w:rsid w:val="00735345"/>
    <w:rsid w:val="00781616"/>
    <w:rsid w:val="00794007"/>
    <w:rsid w:val="007978C7"/>
    <w:rsid w:val="007B6A62"/>
    <w:rsid w:val="007E0AA4"/>
    <w:rsid w:val="007F32FF"/>
    <w:rsid w:val="008615A7"/>
    <w:rsid w:val="00864435"/>
    <w:rsid w:val="008978CC"/>
    <w:rsid w:val="008A35F2"/>
    <w:rsid w:val="0092154F"/>
    <w:rsid w:val="00A44002"/>
    <w:rsid w:val="00A6150B"/>
    <w:rsid w:val="00AC556C"/>
    <w:rsid w:val="00AF7AEF"/>
    <w:rsid w:val="00B2162F"/>
    <w:rsid w:val="00B6406E"/>
    <w:rsid w:val="00BB769D"/>
    <w:rsid w:val="00BE5A4C"/>
    <w:rsid w:val="00C12CB2"/>
    <w:rsid w:val="00C32BA5"/>
    <w:rsid w:val="00C7769C"/>
    <w:rsid w:val="00CA2BBE"/>
    <w:rsid w:val="00CB302D"/>
    <w:rsid w:val="00CB77AF"/>
    <w:rsid w:val="00CC2A24"/>
    <w:rsid w:val="00CF76FA"/>
    <w:rsid w:val="00D4115E"/>
    <w:rsid w:val="00D64DB3"/>
    <w:rsid w:val="00D84052"/>
    <w:rsid w:val="00DA451E"/>
    <w:rsid w:val="00DC3EB6"/>
    <w:rsid w:val="00E212F2"/>
    <w:rsid w:val="00E232FE"/>
    <w:rsid w:val="00E276FF"/>
    <w:rsid w:val="00E32E29"/>
    <w:rsid w:val="00E51A2F"/>
    <w:rsid w:val="00E56F1A"/>
    <w:rsid w:val="00E76634"/>
    <w:rsid w:val="00E90251"/>
    <w:rsid w:val="00E90BAD"/>
    <w:rsid w:val="00E944DB"/>
    <w:rsid w:val="00EF686E"/>
    <w:rsid w:val="00F0717A"/>
    <w:rsid w:val="00F2264F"/>
    <w:rsid w:val="00FA7CF8"/>
    <w:rsid w:val="00FB6FB8"/>
    <w:rsid w:val="00FD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2264F"/>
  </w:style>
  <w:style w:type="character" w:customStyle="1" w:styleId="FootnoteTextChar">
    <w:name w:val="Footnote Text Char"/>
    <w:basedOn w:val="DefaultParagraphFont"/>
    <w:link w:val="FootnoteText"/>
    <w:uiPriority w:val="99"/>
    <w:rsid w:val="00F2264F"/>
  </w:style>
  <w:style w:type="character" w:styleId="FootnoteReference">
    <w:name w:val="footnote reference"/>
    <w:basedOn w:val="DefaultParagraphFont"/>
    <w:uiPriority w:val="99"/>
    <w:unhideWhenUsed/>
    <w:rsid w:val="00F2264F"/>
    <w:rPr>
      <w:vertAlign w:val="superscript"/>
    </w:rPr>
  </w:style>
  <w:style w:type="character" w:styleId="CommentReference">
    <w:name w:val="annotation reference"/>
    <w:basedOn w:val="DefaultParagraphFont"/>
    <w:uiPriority w:val="99"/>
    <w:semiHidden/>
    <w:unhideWhenUsed/>
    <w:rsid w:val="00F2264F"/>
    <w:rPr>
      <w:sz w:val="18"/>
      <w:szCs w:val="18"/>
    </w:rPr>
  </w:style>
  <w:style w:type="paragraph" w:styleId="CommentText">
    <w:name w:val="annotation text"/>
    <w:basedOn w:val="Normal"/>
    <w:link w:val="CommentTextChar"/>
    <w:uiPriority w:val="99"/>
    <w:semiHidden/>
    <w:unhideWhenUsed/>
    <w:rsid w:val="00F2264F"/>
  </w:style>
  <w:style w:type="character" w:customStyle="1" w:styleId="CommentTextChar">
    <w:name w:val="Comment Text Char"/>
    <w:basedOn w:val="DefaultParagraphFont"/>
    <w:link w:val="CommentText"/>
    <w:uiPriority w:val="99"/>
    <w:semiHidden/>
    <w:rsid w:val="00F2264F"/>
  </w:style>
  <w:style w:type="paragraph" w:styleId="CommentSubject">
    <w:name w:val="annotation subject"/>
    <w:basedOn w:val="CommentText"/>
    <w:next w:val="CommentText"/>
    <w:link w:val="CommentSubjectChar"/>
    <w:uiPriority w:val="99"/>
    <w:semiHidden/>
    <w:unhideWhenUsed/>
    <w:rsid w:val="00F2264F"/>
    <w:rPr>
      <w:b/>
      <w:bCs/>
      <w:sz w:val="20"/>
      <w:szCs w:val="20"/>
    </w:rPr>
  </w:style>
  <w:style w:type="character" w:customStyle="1" w:styleId="CommentSubjectChar">
    <w:name w:val="Comment Subject Char"/>
    <w:basedOn w:val="CommentTextChar"/>
    <w:link w:val="CommentSubject"/>
    <w:uiPriority w:val="99"/>
    <w:semiHidden/>
    <w:rsid w:val="00F2264F"/>
    <w:rPr>
      <w:b/>
      <w:bCs/>
      <w:sz w:val="20"/>
      <w:szCs w:val="20"/>
    </w:rPr>
  </w:style>
  <w:style w:type="paragraph" w:styleId="BalloonText">
    <w:name w:val="Balloon Text"/>
    <w:basedOn w:val="Normal"/>
    <w:link w:val="BalloonTextChar"/>
    <w:uiPriority w:val="99"/>
    <w:semiHidden/>
    <w:unhideWhenUsed/>
    <w:rsid w:val="00F226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6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96A72D-5FF2-FD4B-8AB7-4C7634DA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830</Words>
  <Characters>4735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Part 1 </vt:lpstr>
      <vt:lpstr>Part 2</vt:lpstr>
      <vt:lpstr/>
      <vt:lpstr>Is Taylor eligible to exercise their reversion clause? Why or why not?</vt:lpstr>
      <vt:lpstr/>
      <vt:lpstr>Part 3</vt:lpstr>
      <vt:lpstr/>
      <vt:lpstr>Taylor’s reversion clause is triggered when their book is “out of print.” Since </vt:lpstr>
      <vt:lpstr/>
      <vt:lpstr>How can Taylor make a case for reversion?</vt:lpstr>
      <vt:lpstr/>
      <vt:lpstr>What other options can Taylor explore with Palpable Publisher?</vt:lpstr>
      <vt:lpstr>Conclusion</vt:lpstr>
      <vt:lpstr>Taylor knows that there are other ways to make a case for meeting their goals in</vt:lpstr>
      <vt:lpstr/>
      <vt:lpstr>If Taylor has a good relationship with their publisher, it may not make sense to</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9</cp:revision>
  <dcterms:created xsi:type="dcterms:W3CDTF">2019-04-17T16:35:00Z</dcterms:created>
  <dcterms:modified xsi:type="dcterms:W3CDTF">2019-11-15T05:42:00Z</dcterms:modified>
</cp:coreProperties>
</file>