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64370" w14:textId="602A5E13" w:rsidR="00C10F6A" w:rsidRPr="0065603C" w:rsidRDefault="0092154F" w:rsidP="00AC7A19">
      <w:pPr>
        <w:pStyle w:val="Title"/>
        <w:spacing w:line="204" w:lineRule="auto"/>
        <w:rPr>
          <w:rFonts w:ascii="Calibri" w:hAnsi="Calibri" w:cs="Calibri"/>
        </w:rPr>
      </w:pPr>
      <w:r w:rsidRPr="0065603C">
        <w:rPr>
          <w:rFonts w:ascii="Calibri" w:hAnsi="Calibri" w:cs="Calibri"/>
          <w:sz w:val="48"/>
          <w:szCs w:val="48"/>
        </w:rPr>
        <w:drawing>
          <wp:anchor distT="0" distB="0" distL="114300" distR="114300" simplePos="0" relativeHeight="251659264" behindDoc="1" locked="0" layoutInCell="1" allowOverlap="1" wp14:anchorId="3D646D50" wp14:editId="362EBB62">
            <wp:simplePos x="0" y="0"/>
            <wp:positionH relativeFrom="column">
              <wp:posOffset>-970611</wp:posOffset>
            </wp:positionH>
            <wp:positionV relativeFrom="paragraph">
              <wp:posOffset>-820711</wp:posOffset>
            </wp:positionV>
            <wp:extent cx="8070466" cy="2157729"/>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070466" cy="2157729"/>
                    </a:xfrm>
                    <a:prstGeom prst="rect">
                      <a:avLst/>
                    </a:prstGeom>
                  </pic:spPr>
                </pic:pic>
              </a:graphicData>
            </a:graphic>
            <wp14:sizeRelH relativeFrom="page">
              <wp14:pctWidth>0</wp14:pctWidth>
            </wp14:sizeRelH>
            <wp14:sizeRelV relativeFrom="page">
              <wp14:pctHeight>0</wp14:pctHeight>
            </wp14:sizeRelV>
          </wp:anchor>
        </w:drawing>
      </w:r>
      <w:r w:rsidR="00093F08">
        <w:rPr>
          <w:rFonts w:ascii="Calibri" w:hAnsi="Calibri" w:cs="Calibri"/>
        </w:rPr>
        <w:t>Understanding Open Access</w:t>
      </w:r>
    </w:p>
    <w:p w14:paraId="350DCDBA" w14:textId="488C09FB" w:rsidR="00416C20" w:rsidRPr="0065603C" w:rsidRDefault="00E21F07" w:rsidP="00AC7A19">
      <w:pPr>
        <w:pStyle w:val="Subtitle"/>
        <w:spacing w:line="276" w:lineRule="auto"/>
        <w:rPr>
          <w:rFonts w:ascii="Calibri" w:hAnsi="Calibri" w:cs="Calibri"/>
        </w:rPr>
      </w:pPr>
      <w:r>
        <w:rPr>
          <w:rFonts w:ascii="Calibri" w:hAnsi="Calibri" w:cs="Calibri"/>
        </w:rPr>
        <w:t>Overview</w:t>
      </w:r>
    </w:p>
    <w:p w14:paraId="52C8CD08" w14:textId="77777777" w:rsidR="0092154F" w:rsidRPr="0065603C" w:rsidRDefault="0092154F" w:rsidP="00AC7A19">
      <w:pPr>
        <w:rPr>
          <w:rFonts w:ascii="Calibri" w:hAnsi="Calibri" w:cs="Calibri"/>
          <w:b/>
          <w:color w:val="000000" w:themeColor="text1"/>
        </w:rPr>
      </w:pPr>
    </w:p>
    <w:p w14:paraId="70DEFB26" w14:textId="77777777" w:rsidR="0092154F" w:rsidRPr="0065603C" w:rsidRDefault="0092154F" w:rsidP="00AC7A19">
      <w:pPr>
        <w:rPr>
          <w:rFonts w:ascii="Calibri" w:hAnsi="Calibri" w:cs="Calibri"/>
          <w:b/>
          <w:color w:val="000000" w:themeColor="text1"/>
        </w:rPr>
      </w:pPr>
    </w:p>
    <w:p w14:paraId="7C6E94A7" w14:textId="77777777" w:rsidR="0092154F" w:rsidRPr="0065603C" w:rsidRDefault="0092154F" w:rsidP="00AC7A19">
      <w:pPr>
        <w:rPr>
          <w:rFonts w:ascii="Calibri" w:hAnsi="Calibri" w:cs="Calibri"/>
          <w:b/>
          <w:color w:val="000000" w:themeColor="text1"/>
        </w:rPr>
      </w:pPr>
    </w:p>
    <w:p w14:paraId="03911D82" w14:textId="09F5CC51" w:rsidR="00094CA2" w:rsidRDefault="00094CA2" w:rsidP="00AC7A19">
      <w:pPr>
        <w:rPr>
          <w:rFonts w:ascii="Calibri" w:hAnsi="Calibri" w:cs="Calibri"/>
          <w:b/>
          <w:noProof/>
          <w:shd w:val="clear" w:color="auto" w:fill="DEEAF6" w:themeFill="accent5" w:themeFillTint="33"/>
        </w:rPr>
      </w:pPr>
    </w:p>
    <w:p w14:paraId="35AC052F" w14:textId="77777777" w:rsidR="00094CA2" w:rsidRDefault="00094CA2" w:rsidP="00AC7A19">
      <w:pPr>
        <w:rPr>
          <w:rStyle w:val="SubtleEmphasis"/>
          <w:rFonts w:ascii="Calibri" w:hAnsi="Calibri" w:cs="Calibri"/>
          <w:b/>
        </w:rPr>
      </w:pPr>
    </w:p>
    <w:p w14:paraId="3FC2794D" w14:textId="77777777" w:rsidR="00E76C38" w:rsidRDefault="00E76C38" w:rsidP="00AC7A19">
      <w:pPr>
        <w:pStyle w:val="NormalWeb"/>
        <w:spacing w:before="0" w:beforeAutospacing="0" w:after="0" w:afterAutospacing="0"/>
        <w:ind w:right="-360"/>
      </w:pPr>
      <w:r>
        <w:rPr>
          <w:rFonts w:ascii="Calibri" w:hAnsi="Calibri" w:cs="Calibri"/>
          <w:b/>
          <w:bCs/>
          <w:color w:val="000000"/>
        </w:rPr>
        <w:t> </w:t>
      </w:r>
    </w:p>
    <w:p w14:paraId="22B449D4" w14:textId="218AC4D6" w:rsidR="00E76C38" w:rsidRDefault="00AB1A06" w:rsidP="00E8524E">
      <w:pPr>
        <w:pStyle w:val="Heading1"/>
      </w:pPr>
      <w:r w:rsidRPr="00AB1A06">
        <w:rPr>
          <w:rFonts w:ascii="Calibri" w:hAnsi="Calibri" w:cs="Calibri"/>
          <w:color w:val="000000"/>
          <w:shd w:val="clear" w:color="auto" w:fill="FBE4D5" w:themeFill="accent2" w:themeFillTint="33"/>
        </w:rPr>
        <w:t>What is open access?</w:t>
      </w:r>
    </w:p>
    <w:p w14:paraId="79810F19" w14:textId="77777777" w:rsidR="00E76C38" w:rsidRDefault="00E76C38" w:rsidP="00E8524E"/>
    <w:p w14:paraId="0F03FC60" w14:textId="76E4B00C" w:rsidR="00AB1A06" w:rsidRDefault="00AB1A06" w:rsidP="00E8524E">
      <w:pPr>
        <w:pStyle w:val="NormalWeb"/>
        <w:spacing w:before="0" w:beforeAutospacing="0" w:after="0" w:afterAutospacing="0"/>
        <w:rPr>
          <w:rFonts w:ascii="Calibri" w:hAnsi="Calibri" w:cs="Calibri"/>
          <w:color w:val="000000"/>
        </w:rPr>
      </w:pPr>
      <w:r>
        <w:rPr>
          <w:rFonts w:ascii="Calibri" w:hAnsi="Calibri" w:cs="Calibri"/>
          <w:color w:val="000000"/>
        </w:rPr>
        <w:t>“Open access” is a way of</w:t>
      </w:r>
      <w:r w:rsidRPr="00AB1A06">
        <w:rPr>
          <w:rFonts w:ascii="Calibri" w:hAnsi="Calibri" w:cs="Calibri"/>
          <w:color w:val="000000"/>
        </w:rPr>
        <w:t xml:space="preserve"> </w:t>
      </w:r>
      <w:r>
        <w:rPr>
          <w:rFonts w:ascii="Calibri" w:hAnsi="Calibri" w:cs="Calibri"/>
          <w:color w:val="000000"/>
        </w:rPr>
        <w:t>making</w:t>
      </w:r>
      <w:r w:rsidRPr="00AB1A06">
        <w:rPr>
          <w:rFonts w:ascii="Calibri" w:hAnsi="Calibri" w:cs="Calibri"/>
          <w:color w:val="000000"/>
        </w:rPr>
        <w:t xml:space="preserve"> copyrightable works available without all of the access barriers associated with the “all rights reserved”</w:t>
      </w:r>
      <w:r>
        <w:rPr>
          <w:rFonts w:ascii="Calibri" w:hAnsi="Calibri" w:cs="Calibri"/>
          <w:color w:val="000000"/>
        </w:rPr>
        <w:t xml:space="preserve"> model</w:t>
      </w:r>
      <w:r w:rsidRPr="00AB1A06">
        <w:rPr>
          <w:rFonts w:ascii="Calibri" w:hAnsi="Calibri" w:cs="Calibri"/>
          <w:color w:val="000000"/>
        </w:rPr>
        <w:t xml:space="preserve">. These barriers can take the form of price barriers (the financial cost to access a work) and permission barriers (the permission needed to further copy, redistribute, and/or adapt a work). </w:t>
      </w:r>
    </w:p>
    <w:p w14:paraId="63921711" w14:textId="77777777" w:rsidR="00AB1A06" w:rsidRPr="00AB1A06" w:rsidRDefault="00AB1A06" w:rsidP="00E8524E">
      <w:pPr>
        <w:pStyle w:val="NormalWeb"/>
        <w:spacing w:before="0" w:beforeAutospacing="0" w:after="0" w:afterAutospacing="0"/>
        <w:rPr>
          <w:rFonts w:ascii="Calibri" w:hAnsi="Calibri" w:cs="Calibri"/>
          <w:color w:val="000000"/>
        </w:rPr>
      </w:pPr>
    </w:p>
    <w:p w14:paraId="6CEB7907" w14:textId="3E42AA0E" w:rsidR="00AB1A06" w:rsidRDefault="00AB1A06" w:rsidP="00E8524E">
      <w:pPr>
        <w:pStyle w:val="NormalWeb"/>
        <w:spacing w:before="0" w:beforeAutospacing="0" w:after="0" w:afterAutospacing="0"/>
        <w:rPr>
          <w:rFonts w:ascii="Calibri" w:hAnsi="Calibri" w:cs="Calibri"/>
          <w:color w:val="000000"/>
        </w:rPr>
      </w:pPr>
      <w:r w:rsidRPr="00AB1A06">
        <w:rPr>
          <w:rFonts w:ascii="Calibri" w:hAnsi="Calibri" w:cs="Calibri"/>
          <w:color w:val="000000"/>
        </w:rPr>
        <w:t xml:space="preserve">Open access typically comes in two forms. </w:t>
      </w:r>
      <w:r>
        <w:rPr>
          <w:rFonts w:ascii="Calibri" w:hAnsi="Calibri" w:cs="Calibri"/>
          <w:color w:val="000000"/>
        </w:rPr>
        <w:t>G</w:t>
      </w:r>
      <w:r w:rsidRPr="00AB1A06">
        <w:rPr>
          <w:rFonts w:ascii="Calibri" w:hAnsi="Calibri" w:cs="Calibri"/>
          <w:i/>
          <w:color w:val="000000"/>
        </w:rPr>
        <w:t>ratis</w:t>
      </w:r>
      <w:r w:rsidRPr="00AB1A06">
        <w:rPr>
          <w:rFonts w:ascii="Calibri" w:hAnsi="Calibri" w:cs="Calibri"/>
          <w:color w:val="000000"/>
        </w:rPr>
        <w:t xml:space="preserve"> open access is the practice of making a work available online free of charge (also called public access). </w:t>
      </w:r>
      <w:r>
        <w:rPr>
          <w:rFonts w:ascii="Calibri" w:hAnsi="Calibri" w:cs="Calibri"/>
          <w:i/>
          <w:color w:val="000000"/>
        </w:rPr>
        <w:t>Li</w:t>
      </w:r>
      <w:r w:rsidRPr="00AB1A06">
        <w:rPr>
          <w:rFonts w:ascii="Calibri" w:hAnsi="Calibri" w:cs="Calibri"/>
          <w:i/>
          <w:color w:val="000000"/>
        </w:rPr>
        <w:t>bre</w:t>
      </w:r>
      <w:r w:rsidRPr="00AB1A06">
        <w:rPr>
          <w:rFonts w:ascii="Calibri" w:hAnsi="Calibri" w:cs="Calibri"/>
          <w:color w:val="000000"/>
        </w:rPr>
        <w:t xml:space="preserve"> open access (also called full open access) refers to the practice of making a work available online free of charge and with some additional reuse rights, typically granted through a Creative Commons license. </w:t>
      </w:r>
      <w:r>
        <w:rPr>
          <w:rFonts w:ascii="Calibri" w:hAnsi="Calibri" w:cs="Calibri"/>
          <w:i/>
          <w:color w:val="000000"/>
        </w:rPr>
        <w:t>G</w:t>
      </w:r>
      <w:r w:rsidRPr="00AB1A06">
        <w:rPr>
          <w:rFonts w:ascii="Calibri" w:hAnsi="Calibri" w:cs="Calibri"/>
          <w:i/>
          <w:color w:val="000000"/>
        </w:rPr>
        <w:t>ratis</w:t>
      </w:r>
      <w:r w:rsidRPr="00AB1A06">
        <w:rPr>
          <w:rFonts w:ascii="Calibri" w:hAnsi="Calibri" w:cs="Calibri"/>
          <w:color w:val="000000"/>
        </w:rPr>
        <w:t xml:space="preserve"> open access removes price barriers, whereas </w:t>
      </w:r>
      <w:proofErr w:type="spellStart"/>
      <w:r w:rsidRPr="00AB1A06">
        <w:rPr>
          <w:rFonts w:ascii="Calibri" w:hAnsi="Calibri" w:cs="Calibri"/>
          <w:i/>
          <w:color w:val="000000"/>
        </w:rPr>
        <w:t>libre</w:t>
      </w:r>
      <w:proofErr w:type="spellEnd"/>
      <w:r w:rsidRPr="00AB1A06">
        <w:rPr>
          <w:rFonts w:ascii="Calibri" w:hAnsi="Calibri" w:cs="Calibri"/>
          <w:color w:val="000000"/>
        </w:rPr>
        <w:t xml:space="preserve"> open access additionally removes at least some permission barriers, allowing users to copy, redistribute, and/or adapt a work. </w:t>
      </w:r>
    </w:p>
    <w:p w14:paraId="1E82B1EE" w14:textId="16F0BEF2" w:rsidR="00AB1A06" w:rsidRDefault="00AB1A06" w:rsidP="00AB1A06">
      <w:pPr>
        <w:pStyle w:val="NormalWeb"/>
        <w:spacing w:before="0" w:beforeAutospacing="0" w:after="0" w:afterAutospacing="0"/>
        <w:ind w:right="-360"/>
        <w:rPr>
          <w:rFonts w:ascii="Calibri" w:hAnsi="Calibri" w:cs="Calibri"/>
          <w:color w:val="000000"/>
        </w:rPr>
      </w:pPr>
    </w:p>
    <w:p w14:paraId="2CDA0855" w14:textId="258EDF55" w:rsidR="00AB1A06" w:rsidRPr="00AB1A06" w:rsidRDefault="00AB1A06" w:rsidP="00AB1A06">
      <w:pPr>
        <w:pStyle w:val="NormalWeb"/>
        <w:spacing w:before="0" w:beforeAutospacing="0" w:after="0" w:afterAutospacing="0"/>
        <w:ind w:right="-360"/>
        <w:rPr>
          <w:rFonts w:ascii="Calibri" w:hAnsi="Calibri" w:cs="Calibri"/>
          <w:b/>
          <w:color w:val="000000"/>
        </w:rPr>
      </w:pPr>
      <w:r w:rsidRPr="00AB1A06">
        <w:rPr>
          <w:rFonts w:ascii="Calibri" w:hAnsi="Calibri" w:cs="Calibri"/>
          <w:b/>
          <w:color w:val="000000"/>
          <w:shd w:val="clear" w:color="auto" w:fill="FBE4D5" w:themeFill="accent2" w:themeFillTint="33"/>
        </w:rPr>
        <w:t>What are the benefits of open access?</w:t>
      </w:r>
    </w:p>
    <w:p w14:paraId="7831BA09" w14:textId="77777777" w:rsidR="00AB1A06" w:rsidRPr="00AB1A06" w:rsidRDefault="00E76C38" w:rsidP="00AC7A19">
      <w:pPr>
        <w:pStyle w:val="NormalWeb"/>
        <w:spacing w:before="0" w:beforeAutospacing="0" w:after="0" w:afterAutospacing="0"/>
        <w:ind w:right="-360"/>
      </w:pPr>
      <w:r w:rsidRPr="00AB1A06">
        <w:rPr>
          <w:rFonts w:ascii="Calibri" w:hAnsi="Calibri" w:cs="Calibri"/>
          <w:color w:val="000000"/>
          <w:vertAlign w:val="subscript"/>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2"/>
        <w:gridCol w:w="3312"/>
        <w:gridCol w:w="3312"/>
      </w:tblGrid>
      <w:tr w:rsidR="00AB1A06" w14:paraId="7C05FFBC" w14:textId="77777777" w:rsidTr="00E8524E">
        <w:tc>
          <w:tcPr>
            <w:tcW w:w="3312" w:type="dxa"/>
          </w:tcPr>
          <w:p w14:paraId="6E820E58" w14:textId="3F6BEBC5" w:rsidR="00AB1A06" w:rsidRDefault="00AB1A06" w:rsidP="00E8524E">
            <w:pPr>
              <w:pStyle w:val="NormalWeb"/>
              <w:spacing w:before="0" w:beforeAutospacing="0" w:after="0" w:afterAutospacing="0"/>
              <w:ind w:left="-118" w:right="-119"/>
              <w:jc w:val="center"/>
            </w:pPr>
            <w:r>
              <w:rPr>
                <w:noProof/>
              </w:rPr>
              <w:drawing>
                <wp:inline distT="0" distB="0" distL="0" distR="0" wp14:anchorId="2A40AE39" wp14:editId="011D23C4">
                  <wp:extent cx="1840020" cy="18288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4-08 at 12.33.57 PM.png"/>
                          <pic:cNvPicPr/>
                        </pic:nvPicPr>
                        <pic:blipFill>
                          <a:blip r:embed="rId9">
                            <a:extLst>
                              <a:ext uri="{28A0092B-C50C-407E-A947-70E740481C1C}">
                                <a14:useLocalDpi xmlns:a14="http://schemas.microsoft.com/office/drawing/2010/main" val="0"/>
                              </a:ext>
                            </a:extLst>
                          </a:blip>
                          <a:stretch>
                            <a:fillRect/>
                          </a:stretch>
                        </pic:blipFill>
                        <pic:spPr>
                          <a:xfrm>
                            <a:off x="0" y="0"/>
                            <a:ext cx="1840020" cy="1828800"/>
                          </a:xfrm>
                          <a:prstGeom prst="rect">
                            <a:avLst/>
                          </a:prstGeom>
                        </pic:spPr>
                      </pic:pic>
                    </a:graphicData>
                  </a:graphic>
                </wp:inline>
              </w:drawing>
            </w:r>
          </w:p>
        </w:tc>
        <w:tc>
          <w:tcPr>
            <w:tcW w:w="3312" w:type="dxa"/>
          </w:tcPr>
          <w:p w14:paraId="0E6D32C5" w14:textId="1DA5CADC" w:rsidR="00AB1A06" w:rsidRDefault="00AB1A06" w:rsidP="00E8524E">
            <w:pPr>
              <w:pStyle w:val="NormalWeb"/>
              <w:spacing w:before="0" w:beforeAutospacing="0" w:after="0" w:afterAutospacing="0"/>
              <w:ind w:left="-93" w:right="-144"/>
              <w:jc w:val="center"/>
            </w:pPr>
            <w:r>
              <w:rPr>
                <w:noProof/>
              </w:rPr>
              <w:drawing>
                <wp:inline distT="0" distB="0" distL="0" distR="0" wp14:anchorId="7C641B8E" wp14:editId="35619EFF">
                  <wp:extent cx="1840230" cy="18288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4-08 at 12.34.05 PM.png"/>
                          <pic:cNvPicPr/>
                        </pic:nvPicPr>
                        <pic:blipFill>
                          <a:blip r:embed="rId10">
                            <a:extLst>
                              <a:ext uri="{28A0092B-C50C-407E-A947-70E740481C1C}">
                                <a14:useLocalDpi xmlns:a14="http://schemas.microsoft.com/office/drawing/2010/main" val="0"/>
                              </a:ext>
                            </a:extLst>
                          </a:blip>
                          <a:stretch>
                            <a:fillRect/>
                          </a:stretch>
                        </pic:blipFill>
                        <pic:spPr>
                          <a:xfrm>
                            <a:off x="0" y="0"/>
                            <a:ext cx="1840230" cy="1828800"/>
                          </a:xfrm>
                          <a:prstGeom prst="rect">
                            <a:avLst/>
                          </a:prstGeom>
                        </pic:spPr>
                      </pic:pic>
                    </a:graphicData>
                  </a:graphic>
                </wp:inline>
              </w:drawing>
            </w:r>
          </w:p>
        </w:tc>
        <w:tc>
          <w:tcPr>
            <w:tcW w:w="3312" w:type="dxa"/>
          </w:tcPr>
          <w:p w14:paraId="0E415928" w14:textId="2448F298" w:rsidR="00AB1A06" w:rsidRDefault="00AB1A06" w:rsidP="00E8524E">
            <w:pPr>
              <w:pStyle w:val="NormalWeb"/>
              <w:spacing w:before="0" w:beforeAutospacing="0" w:after="0" w:afterAutospacing="0"/>
              <w:ind w:left="-68" w:right="-55"/>
              <w:jc w:val="center"/>
            </w:pPr>
            <w:r>
              <w:rPr>
                <w:noProof/>
              </w:rPr>
              <w:drawing>
                <wp:inline distT="0" distB="0" distL="0" distR="0" wp14:anchorId="1D8F8A29" wp14:editId="4F929D07">
                  <wp:extent cx="1873134"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08 at 12.34.19 PM.png"/>
                          <pic:cNvPicPr/>
                        </pic:nvPicPr>
                        <pic:blipFill>
                          <a:blip r:embed="rId11">
                            <a:extLst>
                              <a:ext uri="{28A0092B-C50C-407E-A947-70E740481C1C}">
                                <a14:useLocalDpi xmlns:a14="http://schemas.microsoft.com/office/drawing/2010/main" val="0"/>
                              </a:ext>
                            </a:extLst>
                          </a:blip>
                          <a:stretch>
                            <a:fillRect/>
                          </a:stretch>
                        </pic:blipFill>
                        <pic:spPr>
                          <a:xfrm>
                            <a:off x="0" y="0"/>
                            <a:ext cx="1873134" cy="1828800"/>
                          </a:xfrm>
                          <a:prstGeom prst="rect">
                            <a:avLst/>
                          </a:prstGeom>
                        </pic:spPr>
                      </pic:pic>
                    </a:graphicData>
                  </a:graphic>
                </wp:inline>
              </w:drawing>
            </w:r>
          </w:p>
        </w:tc>
      </w:tr>
      <w:tr w:rsidR="00AB1A06" w14:paraId="4AA6A46E" w14:textId="77777777" w:rsidTr="00E8524E">
        <w:tc>
          <w:tcPr>
            <w:tcW w:w="3312" w:type="dxa"/>
          </w:tcPr>
          <w:p w14:paraId="0E8CC8C0" w14:textId="77777777" w:rsidR="00AB1A06" w:rsidRPr="00AB1A06" w:rsidRDefault="00AB1A06" w:rsidP="00E8524E">
            <w:pPr>
              <w:pStyle w:val="NormalWeb"/>
              <w:spacing w:before="0" w:beforeAutospacing="0" w:after="0" w:afterAutospacing="0"/>
              <w:ind w:left="-118" w:right="-119"/>
              <w:jc w:val="center"/>
              <w:rPr>
                <w:rFonts w:ascii="Calibri" w:hAnsi="Calibri"/>
                <w:b/>
                <w:color w:val="ED7D31" w:themeColor="accent2"/>
                <w:sz w:val="28"/>
                <w:szCs w:val="28"/>
              </w:rPr>
            </w:pPr>
            <w:r w:rsidRPr="00AB1A06">
              <w:rPr>
                <w:rFonts w:ascii="Calibri" w:hAnsi="Calibri"/>
                <w:b/>
                <w:color w:val="ED7D31" w:themeColor="accent2"/>
                <w:sz w:val="28"/>
                <w:szCs w:val="28"/>
              </w:rPr>
              <w:t xml:space="preserve">Benefits to </w:t>
            </w:r>
          </w:p>
          <w:p w14:paraId="0D30D5F2" w14:textId="3D6609A5" w:rsidR="00AB1A06" w:rsidRPr="00AB1A06" w:rsidRDefault="00AB1A06" w:rsidP="00E8524E">
            <w:pPr>
              <w:pStyle w:val="NormalWeb"/>
              <w:spacing w:before="0" w:beforeAutospacing="0" w:after="0" w:afterAutospacing="0"/>
              <w:ind w:left="-118" w:right="-119"/>
              <w:jc w:val="center"/>
              <w:rPr>
                <w:rFonts w:ascii="Calibri" w:hAnsi="Calibri"/>
                <w:b/>
                <w:color w:val="ED7D31" w:themeColor="accent2"/>
                <w:sz w:val="28"/>
                <w:szCs w:val="28"/>
              </w:rPr>
            </w:pPr>
            <w:r w:rsidRPr="00AB1A06">
              <w:rPr>
                <w:rFonts w:ascii="Calibri" w:hAnsi="Calibri"/>
                <w:b/>
                <w:color w:val="ED7D31" w:themeColor="accent2"/>
                <w:sz w:val="28"/>
                <w:szCs w:val="28"/>
              </w:rPr>
              <w:t>Authors</w:t>
            </w:r>
          </w:p>
        </w:tc>
        <w:tc>
          <w:tcPr>
            <w:tcW w:w="3312" w:type="dxa"/>
          </w:tcPr>
          <w:p w14:paraId="3F79C421" w14:textId="77777777" w:rsidR="00AB1A06" w:rsidRPr="00AB1A06" w:rsidRDefault="00AB1A06" w:rsidP="00E8524E">
            <w:pPr>
              <w:pStyle w:val="NormalWeb"/>
              <w:spacing w:before="0" w:beforeAutospacing="0" w:after="0" w:afterAutospacing="0"/>
              <w:ind w:left="-93" w:right="-144"/>
              <w:jc w:val="center"/>
              <w:rPr>
                <w:rFonts w:ascii="Calibri" w:hAnsi="Calibri"/>
                <w:b/>
                <w:color w:val="ED7D31" w:themeColor="accent2"/>
                <w:sz w:val="28"/>
                <w:szCs w:val="28"/>
              </w:rPr>
            </w:pPr>
            <w:r w:rsidRPr="00AB1A06">
              <w:rPr>
                <w:rFonts w:ascii="Calibri" w:hAnsi="Calibri"/>
                <w:b/>
                <w:color w:val="ED7D31" w:themeColor="accent2"/>
                <w:sz w:val="28"/>
                <w:szCs w:val="28"/>
              </w:rPr>
              <w:t xml:space="preserve">Benefits to </w:t>
            </w:r>
          </w:p>
          <w:p w14:paraId="258C6820" w14:textId="42D9FADD" w:rsidR="00AB1A06" w:rsidRPr="00AB1A06" w:rsidRDefault="00AB1A06" w:rsidP="00E8524E">
            <w:pPr>
              <w:pStyle w:val="NormalWeb"/>
              <w:spacing w:before="0" w:beforeAutospacing="0" w:after="0" w:afterAutospacing="0"/>
              <w:ind w:left="-93" w:right="-144"/>
              <w:jc w:val="center"/>
              <w:rPr>
                <w:rFonts w:ascii="Calibri" w:hAnsi="Calibri"/>
                <w:b/>
                <w:color w:val="ED7D31" w:themeColor="accent2"/>
                <w:sz w:val="28"/>
                <w:szCs w:val="28"/>
              </w:rPr>
            </w:pPr>
            <w:r w:rsidRPr="00AB1A06">
              <w:rPr>
                <w:rFonts w:ascii="Calibri" w:hAnsi="Calibri"/>
                <w:b/>
                <w:color w:val="ED7D31" w:themeColor="accent2"/>
                <w:sz w:val="28"/>
                <w:szCs w:val="28"/>
              </w:rPr>
              <w:t>Readers</w:t>
            </w:r>
          </w:p>
        </w:tc>
        <w:tc>
          <w:tcPr>
            <w:tcW w:w="3312" w:type="dxa"/>
          </w:tcPr>
          <w:p w14:paraId="34D1E54E" w14:textId="77777777" w:rsidR="00AB1A06" w:rsidRDefault="00AB1A06" w:rsidP="00E8524E">
            <w:pPr>
              <w:pStyle w:val="NormalWeb"/>
              <w:spacing w:before="0" w:beforeAutospacing="0" w:after="0" w:afterAutospacing="0"/>
              <w:ind w:left="-68" w:right="-55"/>
              <w:jc w:val="center"/>
              <w:rPr>
                <w:rFonts w:ascii="Calibri" w:hAnsi="Calibri"/>
                <w:b/>
                <w:color w:val="ED7D31" w:themeColor="accent2"/>
                <w:sz w:val="28"/>
                <w:szCs w:val="28"/>
              </w:rPr>
            </w:pPr>
            <w:r w:rsidRPr="00AB1A06">
              <w:rPr>
                <w:rFonts w:ascii="Calibri" w:hAnsi="Calibri"/>
                <w:b/>
                <w:color w:val="ED7D31" w:themeColor="accent2"/>
                <w:sz w:val="28"/>
                <w:szCs w:val="28"/>
              </w:rPr>
              <w:t xml:space="preserve">Benefits to </w:t>
            </w:r>
          </w:p>
          <w:p w14:paraId="16836AD8" w14:textId="49FE1E01" w:rsidR="00AB1A06" w:rsidRPr="00AB1A06" w:rsidRDefault="00AB1A06" w:rsidP="00E8524E">
            <w:pPr>
              <w:pStyle w:val="NormalWeb"/>
              <w:spacing w:before="0" w:beforeAutospacing="0" w:after="0" w:afterAutospacing="0"/>
              <w:ind w:left="-68" w:right="-55"/>
              <w:jc w:val="center"/>
              <w:rPr>
                <w:rFonts w:ascii="Calibri" w:hAnsi="Calibri"/>
                <w:b/>
                <w:color w:val="ED7D31" w:themeColor="accent2"/>
                <w:sz w:val="28"/>
                <w:szCs w:val="28"/>
              </w:rPr>
            </w:pPr>
            <w:r w:rsidRPr="00AB1A06">
              <w:rPr>
                <w:rFonts w:ascii="Calibri" w:hAnsi="Calibri"/>
                <w:b/>
                <w:color w:val="ED7D31" w:themeColor="accent2"/>
                <w:sz w:val="28"/>
                <w:szCs w:val="28"/>
              </w:rPr>
              <w:t>Progress of Knowledge</w:t>
            </w:r>
          </w:p>
        </w:tc>
      </w:tr>
      <w:tr w:rsidR="00AB1A06" w:rsidRPr="00AB1A06" w14:paraId="71556A51" w14:textId="77777777" w:rsidTr="00E8524E">
        <w:tc>
          <w:tcPr>
            <w:tcW w:w="3312" w:type="dxa"/>
          </w:tcPr>
          <w:p w14:paraId="1F818B4B" w14:textId="77777777" w:rsidR="00E8524E" w:rsidRDefault="00E8524E" w:rsidP="00E8524E">
            <w:pPr>
              <w:pStyle w:val="NormalWeb"/>
              <w:spacing w:before="0" w:beforeAutospacing="0" w:after="0" w:afterAutospacing="0"/>
              <w:ind w:left="-118" w:right="-119"/>
              <w:jc w:val="center"/>
              <w:rPr>
                <w:rFonts w:ascii="Calibri" w:hAnsi="Calibri"/>
              </w:rPr>
            </w:pPr>
          </w:p>
          <w:p w14:paraId="75FEE022" w14:textId="1F65CD4B" w:rsidR="00AB1A06" w:rsidRPr="00AB1A06" w:rsidRDefault="00E8524E" w:rsidP="00E8524E">
            <w:pPr>
              <w:pStyle w:val="NormalWeb"/>
              <w:spacing w:before="0" w:beforeAutospacing="0" w:after="0" w:afterAutospacing="0"/>
              <w:ind w:left="62" w:right="61"/>
              <w:jc w:val="center"/>
              <w:rPr>
                <w:rFonts w:ascii="Calibri" w:hAnsi="Calibri"/>
              </w:rPr>
            </w:pPr>
            <w:r>
              <w:rPr>
                <w:rFonts w:ascii="Calibri" w:hAnsi="Calibri"/>
              </w:rPr>
              <w:t>Increases discoverability and access, potentially leading to a bigger audience for a work and a greater number of citations.</w:t>
            </w:r>
          </w:p>
        </w:tc>
        <w:tc>
          <w:tcPr>
            <w:tcW w:w="3312" w:type="dxa"/>
          </w:tcPr>
          <w:p w14:paraId="16BE7326" w14:textId="77777777" w:rsidR="00E8524E" w:rsidRDefault="00E8524E" w:rsidP="00E8524E">
            <w:pPr>
              <w:pStyle w:val="NormalWeb"/>
              <w:spacing w:before="0" w:beforeAutospacing="0" w:after="0" w:afterAutospacing="0"/>
              <w:ind w:left="-93" w:right="-144"/>
              <w:jc w:val="center"/>
              <w:rPr>
                <w:rFonts w:ascii="Calibri" w:hAnsi="Calibri"/>
              </w:rPr>
            </w:pPr>
          </w:p>
          <w:p w14:paraId="4DE95FD4" w14:textId="47C975F1" w:rsidR="00AB1A06" w:rsidRPr="00AB1A06" w:rsidRDefault="00E8524E" w:rsidP="00E8524E">
            <w:pPr>
              <w:pStyle w:val="NormalWeb"/>
              <w:spacing w:before="0" w:beforeAutospacing="0" w:after="0" w:afterAutospacing="0"/>
              <w:ind w:right="35"/>
              <w:jc w:val="center"/>
              <w:rPr>
                <w:rFonts w:ascii="Calibri" w:hAnsi="Calibri"/>
              </w:rPr>
            </w:pPr>
            <w:r>
              <w:rPr>
                <w:rFonts w:ascii="Calibri" w:hAnsi="Calibri"/>
              </w:rPr>
              <w:t>Makes it easier for students, teachers, researchers, practitioners, and others to access the information they need to learn, teach, research, and practice in their fields.</w:t>
            </w:r>
          </w:p>
        </w:tc>
        <w:tc>
          <w:tcPr>
            <w:tcW w:w="3312" w:type="dxa"/>
          </w:tcPr>
          <w:p w14:paraId="6F9DF30A" w14:textId="77777777" w:rsidR="00E8524E" w:rsidRDefault="00E8524E" w:rsidP="00E8524E">
            <w:pPr>
              <w:pStyle w:val="NormalWeb"/>
              <w:spacing w:before="0" w:beforeAutospacing="0" w:after="0" w:afterAutospacing="0"/>
              <w:ind w:left="-68" w:right="-55"/>
              <w:jc w:val="center"/>
              <w:rPr>
                <w:rFonts w:ascii="Calibri" w:hAnsi="Calibri"/>
              </w:rPr>
            </w:pPr>
          </w:p>
          <w:p w14:paraId="0D0E1C04" w14:textId="23542F0E" w:rsidR="00AB1A06" w:rsidRPr="00AB1A06" w:rsidRDefault="00E8524E" w:rsidP="00E8524E">
            <w:pPr>
              <w:pStyle w:val="NormalWeb"/>
              <w:spacing w:before="0" w:beforeAutospacing="0" w:after="0" w:afterAutospacing="0"/>
              <w:ind w:left="113" w:right="10"/>
              <w:jc w:val="center"/>
              <w:rPr>
                <w:rFonts w:ascii="Calibri" w:hAnsi="Calibri"/>
              </w:rPr>
            </w:pPr>
            <w:r>
              <w:rPr>
                <w:rFonts w:ascii="Calibri" w:hAnsi="Calibri"/>
              </w:rPr>
              <w:t>Creates a more hospitable environment for future scientific advancements and cultural contributions.</w:t>
            </w:r>
          </w:p>
        </w:tc>
      </w:tr>
    </w:tbl>
    <w:p w14:paraId="4A20095C" w14:textId="39F4ACE1" w:rsidR="00AB1A06" w:rsidRPr="00AB1A06" w:rsidRDefault="00AB1A06" w:rsidP="00AC7A19">
      <w:pPr>
        <w:pStyle w:val="NormalWeb"/>
        <w:spacing w:before="0" w:beforeAutospacing="0" w:after="0" w:afterAutospacing="0"/>
        <w:ind w:right="-360"/>
        <w:rPr>
          <w:rFonts w:ascii="Calibri" w:hAnsi="Calibri"/>
        </w:rPr>
      </w:pPr>
    </w:p>
    <w:p w14:paraId="113700C4" w14:textId="0381CF0A" w:rsidR="00E21F07" w:rsidRPr="00A66F3F" w:rsidRDefault="00A66F3F" w:rsidP="00A66F3F">
      <w:pPr>
        <w:rPr>
          <w:b/>
        </w:rPr>
      </w:pPr>
      <w:r w:rsidRPr="00A66F3F">
        <w:rPr>
          <w:b/>
          <w:shd w:val="clear" w:color="auto" w:fill="FBE4D5" w:themeFill="accent2" w:themeFillTint="33"/>
        </w:rPr>
        <w:lastRenderedPageBreak/>
        <w:t>What are open access policies and why are they adopted?</w:t>
      </w:r>
    </w:p>
    <w:p w14:paraId="4217A55E" w14:textId="20ADBBE4" w:rsidR="00E21F07" w:rsidRDefault="00E21F07" w:rsidP="00A66F3F"/>
    <w:p w14:paraId="440DD1BA" w14:textId="614E79AC" w:rsidR="00A66F3F" w:rsidRDefault="00707C12" w:rsidP="00707C12">
      <w:r w:rsidRPr="00707C12">
        <w:t>Many universities, government agencies, and other research funders are adopting open access policies that require works written by faculty or developed under agency or foundation sponsorship to be made openly accessible. For example, faculty at universities around the country have voted to pass open access policies at their institutions. Under these policies, faculty members typically grant to their universities the right to deposit faculty-authored works in institutional repositories.</w:t>
      </w:r>
      <w:r w:rsidRPr="00707C12">
        <w:rPr>
          <w:rFonts w:cstheme="minorHAnsi"/>
          <w:sz w:val="22"/>
          <w:szCs w:val="22"/>
        </w:rPr>
        <w:t xml:space="preserve"> </w:t>
      </w:r>
      <w:r w:rsidRPr="00707C12">
        <w:t>Under similar policies, many government agencies require grant recipients to deposit their research findings in repositories where they are available for free public access. And foundations that sponsor research</w:t>
      </w:r>
      <w:r>
        <w:t xml:space="preserve"> </w:t>
      </w:r>
      <w:r w:rsidRPr="00707C12">
        <w:t>are increasingly adopting policies that require research resulting from grant funding be made openly accessible.</w:t>
      </w:r>
    </w:p>
    <w:p w14:paraId="50526E73" w14:textId="05641087" w:rsidR="00707C12" w:rsidRDefault="00707C12" w:rsidP="00707C12"/>
    <w:p w14:paraId="6ADAC5A2" w14:textId="75ABD9AC" w:rsidR="00707C12" w:rsidRDefault="00707C12" w:rsidP="00707C12">
      <w:r w:rsidRPr="00707C12">
        <w:t xml:space="preserve">Typically, </w:t>
      </w:r>
      <w:r>
        <w:t>open access</w:t>
      </w:r>
      <w:r w:rsidRPr="00707C12">
        <w:t xml:space="preserve"> policies are adopted by entities that view the communication and dissemination of funded works as an integral part of their mission. Universities, for example, further their educational missions by implementing open access policies that make scholarly works more widely available. Open access policies maximize the value of investment in research by ensuring that more readers can access research results and scholarship than if the works were available through restricted means alone.</w:t>
      </w:r>
    </w:p>
    <w:p w14:paraId="18972B9E" w14:textId="7A710FFB" w:rsidR="00707C12" w:rsidRDefault="00707C12" w:rsidP="00A66F3F"/>
    <w:p w14:paraId="5E7F0A3E" w14:textId="7C11A98E" w:rsidR="00707C12" w:rsidRPr="00E511DB" w:rsidRDefault="00E511DB" w:rsidP="00A66F3F">
      <w:pPr>
        <w:rPr>
          <w:b/>
        </w:rPr>
      </w:pPr>
      <w:r w:rsidRPr="00E511DB">
        <w:rPr>
          <w:b/>
          <w:shd w:val="clear" w:color="auto" w:fill="FBE4D5" w:themeFill="accent2" w:themeFillTint="33"/>
        </w:rPr>
        <w:t>How do I make my work openly accessible?</w:t>
      </w:r>
    </w:p>
    <w:p w14:paraId="104ABAA2" w14:textId="05CB2DC8" w:rsidR="00E511DB" w:rsidRDefault="00E511DB" w:rsidP="00A66F3F"/>
    <w:p w14:paraId="1CFDA5A1" w14:textId="77777777" w:rsidR="00F77FA5" w:rsidRDefault="00F77FA5" w:rsidP="00F55FAA">
      <w:r>
        <w:t>If you decide to make your work openly accessible</w:t>
      </w:r>
      <w:r w:rsidR="00F55FAA">
        <w:t>, you will need to decide what</w:t>
      </w:r>
      <w:r w:rsidR="00F55FAA" w:rsidRPr="00F55FAA">
        <w:t xml:space="preserve"> rights you might want to give to the public, as well as </w:t>
      </w:r>
      <w:r>
        <w:t xml:space="preserve">what </w:t>
      </w:r>
      <w:r w:rsidR="00F55FAA" w:rsidRPr="00F55FAA">
        <w:t>conditions you might want to place on the use of your work.</w:t>
      </w:r>
      <w:r>
        <w:t xml:space="preserve"> </w:t>
      </w:r>
    </w:p>
    <w:p w14:paraId="1165D7B0" w14:textId="77777777" w:rsidR="00F77FA5" w:rsidRDefault="00F77FA5" w:rsidP="00F55FAA"/>
    <w:p w14:paraId="5943DB7A" w14:textId="49C7CF3B" w:rsidR="00F55FAA" w:rsidRPr="00F55FAA" w:rsidRDefault="00F55FAA" w:rsidP="00F55FAA">
      <w:r w:rsidRPr="00F55FAA">
        <w:t>While you can help readers access your works by removing price barriers alone (for example, by putting it on the internet), readers will usually still need to ask for your permission to reuse, share, or adapt your work unless you affirmatively license these rights to them (or unless their use falls within a copyright limitation or exception). When you consider how you would like to allow others to access and use your work, consider the following two questions.</w:t>
      </w:r>
    </w:p>
    <w:p w14:paraId="1B47BFD9" w14:textId="77777777" w:rsidR="00F55FAA" w:rsidRPr="00F55FAA" w:rsidRDefault="00F55FAA" w:rsidP="00F55FAA"/>
    <w:p w14:paraId="2A97AA38" w14:textId="77777777" w:rsidR="00F55FAA" w:rsidRPr="00F55FAA" w:rsidRDefault="00F55FAA" w:rsidP="00F55FAA">
      <w:pPr>
        <w:pStyle w:val="ListParagraph"/>
        <w:numPr>
          <w:ilvl w:val="0"/>
          <w:numId w:val="21"/>
        </w:numPr>
      </w:pPr>
      <w:r w:rsidRPr="00F55FAA">
        <w:rPr>
          <w:b/>
          <w:color w:val="ED7D31" w:themeColor="accent2"/>
        </w:rPr>
        <w:t>Do you want to allow others to share your work?</w:t>
      </w:r>
      <w:r w:rsidRPr="00F55FAA">
        <w:rPr>
          <w:b/>
        </w:rPr>
        <w:t xml:space="preserve"> </w:t>
      </w:r>
      <w:r w:rsidRPr="00F55FAA">
        <w:t>When you allow others to share your work, readers can distribute, copy, or perform your work without first having to get your permission or rely on a copyright exception (such as fair use).</w:t>
      </w:r>
    </w:p>
    <w:p w14:paraId="1769FDA3" w14:textId="77777777" w:rsidR="00F55FAA" w:rsidRPr="00F55FAA" w:rsidRDefault="00F55FAA" w:rsidP="00F55FAA"/>
    <w:p w14:paraId="354954B8" w14:textId="7056B8A4" w:rsidR="00F55FAA" w:rsidRDefault="00F55FAA" w:rsidP="00F55FAA">
      <w:pPr>
        <w:pStyle w:val="ListParagraph"/>
        <w:numPr>
          <w:ilvl w:val="0"/>
          <w:numId w:val="21"/>
        </w:numPr>
      </w:pPr>
      <w:r w:rsidRPr="00F55FAA">
        <w:rPr>
          <w:b/>
          <w:color w:val="ED7D31" w:themeColor="accent2"/>
        </w:rPr>
        <w:t>Do you want others to be able to adapt your work?</w:t>
      </w:r>
      <w:r w:rsidRPr="00F55FAA">
        <w:t xml:space="preserve"> When you allow others to adapt your work, readers can build upon or create new works based on your work without first needing to get your permission or rely on a copyright exception. This is sometimes referred to as allowing others the right to prepare “derivative works.” </w:t>
      </w:r>
      <w:r w:rsidR="00F77FA5">
        <w:t>A</w:t>
      </w:r>
      <w:r w:rsidRPr="00F55FAA">
        <w:t xml:space="preserve"> </w:t>
      </w:r>
      <w:r w:rsidR="00F77FA5">
        <w:t>translation of an article written in English into another language is an example of a derivative work</w:t>
      </w:r>
      <w:r w:rsidRPr="00F55FAA">
        <w:t>.</w:t>
      </w:r>
    </w:p>
    <w:p w14:paraId="7DCF7B5A" w14:textId="55EFEACE" w:rsidR="00E511DB" w:rsidRDefault="00E511DB" w:rsidP="00A66F3F"/>
    <w:p w14:paraId="3A52DF6E" w14:textId="118E75A7" w:rsidR="00F55FAA" w:rsidRPr="00F55FAA" w:rsidRDefault="00F55FAA" w:rsidP="00F55FAA">
      <w:r w:rsidRPr="00F55FAA">
        <w:t xml:space="preserve">Once you consider what rights you would like to share with the public, you can consider </w:t>
      </w:r>
      <w:r w:rsidR="00F77FA5">
        <w:t>whether</w:t>
      </w:r>
      <w:r w:rsidRPr="00F55FAA">
        <w:t xml:space="preserve"> you would like to fine-tune your work’s degree of “openness” by putting conditions on readers’ reuse and derivative work rights. Some common conditions to consider are:</w:t>
      </w:r>
    </w:p>
    <w:p w14:paraId="18525E0C" w14:textId="77777777" w:rsidR="00F55FAA" w:rsidRPr="00F55FAA" w:rsidRDefault="00F55FAA" w:rsidP="00F55FAA"/>
    <w:p w14:paraId="2AEEB918" w14:textId="77777777" w:rsidR="00F55FAA" w:rsidRPr="00F55FAA" w:rsidRDefault="00F55FAA" w:rsidP="00F55FAA">
      <w:pPr>
        <w:pStyle w:val="ListParagraph"/>
        <w:numPr>
          <w:ilvl w:val="0"/>
          <w:numId w:val="20"/>
        </w:numPr>
        <w:rPr>
          <w:b/>
        </w:rPr>
      </w:pPr>
      <w:r w:rsidRPr="00F55FAA">
        <w:rPr>
          <w:b/>
          <w:color w:val="ED7D31" w:themeColor="accent2"/>
        </w:rPr>
        <w:t xml:space="preserve">Attribution: </w:t>
      </w:r>
      <w:r w:rsidRPr="00F55FAA">
        <w:t>Those who reuse a work or create a derivative work must give credit to the author for the creation of the original work.</w:t>
      </w:r>
    </w:p>
    <w:p w14:paraId="233F932E" w14:textId="77777777" w:rsidR="00F55FAA" w:rsidRPr="00F55FAA" w:rsidRDefault="00F55FAA" w:rsidP="00F55FAA">
      <w:pPr>
        <w:rPr>
          <w:b/>
        </w:rPr>
      </w:pPr>
    </w:p>
    <w:p w14:paraId="58FE0DCC" w14:textId="28300C39" w:rsidR="00F55FAA" w:rsidRPr="00F55FAA" w:rsidRDefault="00F55FAA" w:rsidP="00F55FAA">
      <w:pPr>
        <w:pStyle w:val="ListParagraph"/>
        <w:numPr>
          <w:ilvl w:val="0"/>
          <w:numId w:val="20"/>
        </w:numPr>
        <w:rPr>
          <w:b/>
        </w:rPr>
      </w:pPr>
      <w:r w:rsidRPr="00F55FAA">
        <w:rPr>
          <w:b/>
          <w:color w:val="ED7D31" w:themeColor="accent2"/>
        </w:rPr>
        <w:lastRenderedPageBreak/>
        <w:t>Share-Alike:</w:t>
      </w:r>
      <w:r w:rsidRPr="00F55FAA">
        <w:rPr>
          <w:b/>
        </w:rPr>
        <w:t xml:space="preserve"> </w:t>
      </w:r>
      <w:r w:rsidRPr="00F55FAA">
        <w:t xml:space="preserve">When readers create a new work based on the originally licensed material, they must distribute that new work under license terms identical to those the author imposed on the original work. </w:t>
      </w:r>
    </w:p>
    <w:p w14:paraId="25642CE5" w14:textId="77777777" w:rsidR="00F55FAA" w:rsidRPr="00F55FAA" w:rsidRDefault="00F55FAA" w:rsidP="00F55FAA">
      <w:pPr>
        <w:rPr>
          <w:b/>
        </w:rPr>
      </w:pPr>
    </w:p>
    <w:p w14:paraId="0F1B023E" w14:textId="77777777" w:rsidR="00F55FAA" w:rsidRPr="00F55FAA" w:rsidRDefault="00F55FAA" w:rsidP="00F55FAA">
      <w:pPr>
        <w:pStyle w:val="ListParagraph"/>
        <w:numPr>
          <w:ilvl w:val="0"/>
          <w:numId w:val="20"/>
        </w:numPr>
        <w:rPr>
          <w:b/>
        </w:rPr>
      </w:pPr>
      <w:r w:rsidRPr="00F55FAA">
        <w:rPr>
          <w:b/>
          <w:color w:val="ED7D31" w:themeColor="accent2"/>
        </w:rPr>
        <w:t>No Derivatives:</w:t>
      </w:r>
      <w:r w:rsidRPr="00F55FAA">
        <w:rPr>
          <w:b/>
        </w:rPr>
        <w:t xml:space="preserve"> </w:t>
      </w:r>
      <w:r w:rsidRPr="00F55FAA">
        <w:t>Readers are prohibited from adapting a work to create a new work. The right to create derivative works is reserved to the author, meaning that readers will be allowed only to distribute, reproduce, or perform a work as long as it is passed along unchanged and in whole.</w:t>
      </w:r>
      <w:r w:rsidRPr="00F55FAA">
        <w:rPr>
          <w:b/>
        </w:rPr>
        <w:t xml:space="preserve"> </w:t>
      </w:r>
    </w:p>
    <w:p w14:paraId="1A31CF14" w14:textId="77777777" w:rsidR="00F55FAA" w:rsidRPr="00F55FAA" w:rsidRDefault="00F55FAA" w:rsidP="00F55FAA">
      <w:pPr>
        <w:rPr>
          <w:b/>
        </w:rPr>
      </w:pPr>
    </w:p>
    <w:p w14:paraId="03E201D8" w14:textId="77777777" w:rsidR="00F55FAA" w:rsidRPr="00F55FAA" w:rsidRDefault="00F55FAA" w:rsidP="00F55FAA">
      <w:pPr>
        <w:pStyle w:val="ListParagraph"/>
        <w:numPr>
          <w:ilvl w:val="0"/>
          <w:numId w:val="20"/>
        </w:numPr>
        <w:rPr>
          <w:b/>
        </w:rPr>
      </w:pPr>
      <w:r w:rsidRPr="00F55FAA">
        <w:rPr>
          <w:b/>
          <w:color w:val="ED7D31" w:themeColor="accent2"/>
        </w:rPr>
        <w:t xml:space="preserve">Non-Commercial Use: </w:t>
      </w:r>
      <w:r w:rsidRPr="00F55FAA">
        <w:t>Readers are prohibited from making any reuse or derivative work available commercially.</w:t>
      </w:r>
      <w:r w:rsidRPr="00F55FAA">
        <w:rPr>
          <w:b/>
        </w:rPr>
        <w:t xml:space="preserve"> </w:t>
      </w:r>
    </w:p>
    <w:p w14:paraId="106D6B34" w14:textId="77777777" w:rsidR="00F55FAA" w:rsidRPr="00F55FAA" w:rsidRDefault="00F55FAA" w:rsidP="00F55FAA">
      <w:pPr>
        <w:rPr>
          <w:b/>
        </w:rPr>
      </w:pPr>
    </w:p>
    <w:p w14:paraId="55E12B9C" w14:textId="2FF54464" w:rsidR="00F55FAA" w:rsidRDefault="00F55FAA" w:rsidP="00A66F3F">
      <w:r w:rsidRPr="00F55FAA">
        <w:t>If you are subject to an open access policy, you should check whether you are required to grant particular user rights or if you are limited as to what restrictions you can place on user rights.</w:t>
      </w:r>
    </w:p>
    <w:p w14:paraId="6F4D8EF6" w14:textId="0D725D05" w:rsidR="00F55FAA" w:rsidRDefault="00F55FAA" w:rsidP="00A66F3F"/>
    <w:p w14:paraId="18DC145A" w14:textId="55D2AF1E" w:rsidR="00F55FAA" w:rsidRDefault="00F55FAA" w:rsidP="00A66F3F">
      <w:r w:rsidRPr="00F55FAA">
        <w:t>To indicate how they want their work to be shared and what restrictions they are placing on the use of their work, many authors use a pre-drafted open access license from Creative Commons. Creative Commons allows authors to choose from among a menu of pre-drafted licenses depending on the rights they want to grant and the conditions they want to place on use of their works.</w:t>
      </w:r>
      <w:r w:rsidR="00763E9C">
        <w:t xml:space="preserve"> </w:t>
      </w:r>
      <w:r w:rsidR="00763E9C">
        <w:t xml:space="preserve">For more about Creative Commons licenses, visit creativecommons.org. </w:t>
      </w:r>
    </w:p>
    <w:p w14:paraId="3C396FBC" w14:textId="77777777" w:rsidR="00F55FAA" w:rsidRDefault="00F55FAA" w:rsidP="00A66F3F"/>
    <w:p w14:paraId="71436AF2" w14:textId="5205F04C" w:rsidR="00F55FAA" w:rsidRDefault="00F55FAA" w:rsidP="00A66F3F">
      <w:r w:rsidRPr="00F55FAA">
        <w:drawing>
          <wp:inline distT="0" distB="0" distL="0" distR="0" wp14:anchorId="48E070F8" wp14:editId="52FE78ED">
            <wp:extent cx="6400800" cy="1071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1071880"/>
                    </a:xfrm>
                    <a:prstGeom prst="rect">
                      <a:avLst/>
                    </a:prstGeom>
                  </pic:spPr>
                </pic:pic>
              </a:graphicData>
            </a:graphic>
          </wp:inline>
        </w:drawing>
      </w:r>
    </w:p>
    <w:p w14:paraId="2492D70E" w14:textId="77777777" w:rsidR="00F00966" w:rsidRDefault="00F00966" w:rsidP="00A66F3F"/>
    <w:p w14:paraId="31B357E7" w14:textId="0228ED2B" w:rsidR="00E511DB" w:rsidRDefault="00F00966" w:rsidP="00A66F3F">
      <w:pPr>
        <w:rPr>
          <w:b/>
          <w:shd w:val="clear" w:color="auto" w:fill="FBE4D5" w:themeFill="accent2" w:themeFillTint="33"/>
        </w:rPr>
      </w:pPr>
      <w:r>
        <w:rPr>
          <w:b/>
          <w:shd w:val="clear" w:color="auto" w:fill="FBE4D5" w:themeFill="accent2" w:themeFillTint="33"/>
        </w:rPr>
        <w:t>How do you publish</w:t>
      </w:r>
      <w:r w:rsidRPr="00F00966">
        <w:rPr>
          <w:b/>
          <w:shd w:val="clear" w:color="auto" w:fill="FBE4D5" w:themeFill="accent2" w:themeFillTint="33"/>
        </w:rPr>
        <w:t xml:space="preserve"> a work openly?</w:t>
      </w:r>
    </w:p>
    <w:p w14:paraId="3BC23244" w14:textId="240F2DA7" w:rsidR="00F00966" w:rsidRDefault="00F00966" w:rsidP="00A66F3F">
      <w:pPr>
        <w:rPr>
          <w:b/>
        </w:rPr>
      </w:pPr>
    </w:p>
    <w:p w14:paraId="75571610" w14:textId="336039E6" w:rsidR="00F00966" w:rsidRPr="00F00966" w:rsidRDefault="00F00966" w:rsidP="00A66F3F">
      <w:r w:rsidRPr="00F00966">
        <w:t xml:space="preserve">In addition to deciding how “open” you want to make your work, you will also need to decide where you will make your work openly accessible. </w:t>
      </w:r>
      <w:r w:rsidR="00763E9C">
        <w:t>Some options include:</w:t>
      </w:r>
    </w:p>
    <w:p w14:paraId="2D6B19F5" w14:textId="5E665645" w:rsidR="00094CE7" w:rsidRPr="00F00966" w:rsidRDefault="00094CE7" w:rsidP="00A66F3F"/>
    <w:p w14:paraId="17087653" w14:textId="15E51441" w:rsidR="00F00966" w:rsidRPr="00F55FAA" w:rsidRDefault="00F00966" w:rsidP="00F55FAA">
      <w:pPr>
        <w:pStyle w:val="ListParagraph"/>
        <w:numPr>
          <w:ilvl w:val="0"/>
          <w:numId w:val="22"/>
        </w:numPr>
        <w:rPr>
          <w:color w:val="000000" w:themeColor="text1"/>
        </w:rPr>
      </w:pPr>
      <w:r w:rsidRPr="00F55FAA">
        <w:rPr>
          <w:b/>
          <w:color w:val="ED7D31" w:themeColor="accent2"/>
        </w:rPr>
        <w:t>Green Open Access:</w:t>
      </w:r>
      <w:r w:rsidRPr="00F55FAA">
        <w:rPr>
          <w:color w:val="000000" w:themeColor="text1"/>
        </w:rPr>
        <w:t xml:space="preserve"> </w:t>
      </w:r>
      <w:r w:rsidRPr="00F55FAA">
        <w:rPr>
          <w:rFonts w:cstheme="minorHAnsi"/>
        </w:rPr>
        <w:t>Under the Gold Open Access model, an author works with an open access publisher, which then typically performs peer review and editing functions before publishing the work in open access form.</w:t>
      </w:r>
    </w:p>
    <w:p w14:paraId="12501C46" w14:textId="77777777" w:rsidR="00F00966" w:rsidRPr="00F00966" w:rsidRDefault="00F00966" w:rsidP="00A66F3F">
      <w:pPr>
        <w:rPr>
          <w:b/>
          <w:color w:val="ED7D31" w:themeColor="accent2"/>
        </w:rPr>
      </w:pPr>
    </w:p>
    <w:p w14:paraId="1E6F153B" w14:textId="0D9A0559" w:rsidR="00F00966" w:rsidRPr="00F55FAA" w:rsidRDefault="00F00966" w:rsidP="00F55FAA">
      <w:pPr>
        <w:pStyle w:val="ListParagraph"/>
        <w:numPr>
          <w:ilvl w:val="0"/>
          <w:numId w:val="22"/>
        </w:numPr>
        <w:rPr>
          <w:color w:val="000000" w:themeColor="text1"/>
        </w:rPr>
      </w:pPr>
      <w:r w:rsidRPr="00F55FAA">
        <w:rPr>
          <w:b/>
          <w:color w:val="ED7D31" w:themeColor="accent2"/>
        </w:rPr>
        <w:t xml:space="preserve">Gold Open Access: </w:t>
      </w:r>
      <w:r w:rsidR="00972069" w:rsidRPr="00F55FAA">
        <w:rPr>
          <w:color w:val="000000" w:themeColor="text1"/>
        </w:rPr>
        <w:t>Green Open Access refers to an author directly making her own work openly accessible on</w:t>
      </w:r>
      <w:r w:rsidR="00763E9C">
        <w:rPr>
          <w:color w:val="000000" w:themeColor="text1"/>
        </w:rPr>
        <w:t>,</w:t>
      </w:r>
      <w:r w:rsidR="00972069" w:rsidRPr="00F55FAA">
        <w:rPr>
          <w:color w:val="000000" w:themeColor="text1"/>
        </w:rPr>
        <w:t xml:space="preserve"> for example, an institutional repository or a personal or group website (also known as “self-archiving”).</w:t>
      </w:r>
    </w:p>
    <w:p w14:paraId="4FCF051D" w14:textId="77777777" w:rsidR="00F00966" w:rsidRPr="00F00966" w:rsidRDefault="00F00966" w:rsidP="00A66F3F">
      <w:pPr>
        <w:rPr>
          <w:b/>
          <w:color w:val="ED7D31" w:themeColor="accent2"/>
        </w:rPr>
      </w:pPr>
    </w:p>
    <w:p w14:paraId="6807F962" w14:textId="1CC1D48D" w:rsidR="00E21F07" w:rsidRPr="00763E9C" w:rsidRDefault="00F00966" w:rsidP="00A66F3F">
      <w:pPr>
        <w:pStyle w:val="ListParagraph"/>
        <w:numPr>
          <w:ilvl w:val="0"/>
          <w:numId w:val="22"/>
        </w:numPr>
        <w:rPr>
          <w:color w:val="000000" w:themeColor="text1"/>
        </w:rPr>
      </w:pPr>
      <w:r w:rsidRPr="00F55FAA">
        <w:rPr>
          <w:b/>
          <w:color w:val="ED7D31" w:themeColor="accent2"/>
        </w:rPr>
        <w:t xml:space="preserve">Working with a Conventional Publisher: </w:t>
      </w:r>
      <w:r w:rsidR="00763E9C">
        <w:rPr>
          <w:color w:val="000000" w:themeColor="text1"/>
        </w:rPr>
        <w:t>C</w:t>
      </w:r>
      <w:r w:rsidR="00763E9C" w:rsidRPr="00F55FAA">
        <w:rPr>
          <w:color w:val="000000" w:themeColor="text1"/>
        </w:rPr>
        <w:t>onventional publishers may be amenable to including open-access-friendly terms in their contracts, either by default or upon negotiation with the author.</w:t>
      </w:r>
      <w:r w:rsidR="00763E9C">
        <w:rPr>
          <w:color w:val="000000" w:themeColor="text1"/>
        </w:rPr>
        <w:t xml:space="preserve"> </w:t>
      </w:r>
      <w:r w:rsidR="00763E9C">
        <w:rPr>
          <w:color w:val="000000" w:themeColor="text1"/>
        </w:rPr>
        <w:br/>
      </w:r>
    </w:p>
    <w:p w14:paraId="4F2AA461" w14:textId="10EB56EA" w:rsidR="00094CA2" w:rsidRPr="001D5356" w:rsidRDefault="00E76C38" w:rsidP="001D5356">
      <w:pPr>
        <w:pStyle w:val="NormalWeb"/>
        <w:spacing w:before="0" w:beforeAutospacing="0" w:after="0" w:afterAutospacing="0"/>
        <w:jc w:val="center"/>
        <w:rPr>
          <w:rStyle w:val="SubtleEmphasis"/>
        </w:rPr>
      </w:pPr>
      <w:r w:rsidRPr="00E8524E">
        <w:rPr>
          <w:rFonts w:ascii="Calibri" w:hAnsi="Calibri" w:cs="Calibri"/>
          <w:color w:val="000000"/>
          <w:sz w:val="22"/>
          <w:szCs w:val="22"/>
          <w:shd w:val="clear" w:color="auto" w:fill="FBE4D5" w:themeFill="accent2" w:themeFillTint="33"/>
        </w:rPr>
        <w:t xml:space="preserve">Authors Alliance is grateful to Arcadia—a charitable fund of </w:t>
      </w:r>
      <w:proofErr w:type="spellStart"/>
      <w:r w:rsidRPr="00E8524E">
        <w:rPr>
          <w:rFonts w:ascii="Calibri" w:hAnsi="Calibri" w:cs="Calibri"/>
          <w:color w:val="000000"/>
          <w:sz w:val="22"/>
          <w:szCs w:val="22"/>
          <w:shd w:val="clear" w:color="auto" w:fill="FBE4D5" w:themeFill="accent2" w:themeFillTint="33"/>
        </w:rPr>
        <w:t>Lisbet</w:t>
      </w:r>
      <w:proofErr w:type="spellEnd"/>
      <w:r w:rsidRPr="00E8524E">
        <w:rPr>
          <w:rFonts w:ascii="Calibri" w:hAnsi="Calibri" w:cs="Calibri"/>
          <w:color w:val="000000"/>
          <w:sz w:val="22"/>
          <w:szCs w:val="22"/>
          <w:shd w:val="clear" w:color="auto" w:fill="FBE4D5" w:themeFill="accent2" w:themeFillTint="33"/>
        </w:rPr>
        <w:t xml:space="preserve"> </w:t>
      </w:r>
      <w:proofErr w:type="spellStart"/>
      <w:r w:rsidRPr="00E8524E">
        <w:rPr>
          <w:rFonts w:ascii="Calibri" w:hAnsi="Calibri" w:cs="Calibri"/>
          <w:color w:val="000000"/>
          <w:sz w:val="22"/>
          <w:szCs w:val="22"/>
          <w:shd w:val="clear" w:color="auto" w:fill="FBE4D5" w:themeFill="accent2" w:themeFillTint="33"/>
        </w:rPr>
        <w:t>R</w:t>
      </w:r>
      <w:bookmarkStart w:id="0" w:name="_GoBack"/>
      <w:bookmarkEnd w:id="0"/>
      <w:r w:rsidRPr="00E8524E">
        <w:rPr>
          <w:rFonts w:ascii="Calibri" w:hAnsi="Calibri" w:cs="Calibri"/>
          <w:color w:val="000000"/>
          <w:sz w:val="22"/>
          <w:szCs w:val="22"/>
          <w:shd w:val="clear" w:color="auto" w:fill="FBE4D5" w:themeFill="accent2" w:themeFillTint="33"/>
        </w:rPr>
        <w:t>ausing</w:t>
      </w:r>
      <w:proofErr w:type="spellEnd"/>
      <w:r w:rsidRPr="00E8524E">
        <w:rPr>
          <w:rFonts w:ascii="Calibri" w:hAnsi="Calibri" w:cs="Calibri"/>
          <w:color w:val="000000"/>
          <w:sz w:val="22"/>
          <w:szCs w:val="22"/>
          <w:shd w:val="clear" w:color="auto" w:fill="FBE4D5" w:themeFill="accent2" w:themeFillTint="33"/>
        </w:rPr>
        <w:t xml:space="preserve"> and Peter Baldwin—for a grant that supported the creation of these materials.</w:t>
      </w:r>
    </w:p>
    <w:sectPr w:rsidR="00094CA2" w:rsidRPr="001D5356" w:rsidSect="00C7769C">
      <w:footerReference w:type="even" r:id="rId13"/>
      <w:footerReference w:type="default" r:id="rId14"/>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6C856" w14:textId="77777777" w:rsidR="008B70E5" w:rsidRDefault="008B70E5" w:rsidP="00416C20">
      <w:r>
        <w:separator/>
      </w:r>
    </w:p>
  </w:endnote>
  <w:endnote w:type="continuationSeparator" w:id="0">
    <w:p w14:paraId="1A2D5A8A" w14:textId="77777777" w:rsidR="008B70E5" w:rsidRDefault="008B70E5" w:rsidP="00416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erriweather">
    <w:panose1 w:val="02000000000000000000"/>
    <w:charset w:val="00"/>
    <w:family w:val="roman"/>
    <w:pitch w:val="variable"/>
    <w:sig w:usb0="800000A7" w:usb1="50000000" w:usb2="00000000" w:usb3="00000000" w:csb0="00000001" w:csb1="00000000"/>
  </w:font>
  <w:font w:name="Amatic SC">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FF711" w14:textId="77777777" w:rsidR="00C7769C" w:rsidRDefault="00C7769C" w:rsidP="00E34AD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321803" w14:textId="77777777" w:rsidR="00C7769C" w:rsidRDefault="00C776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E2E9C" w14:textId="77777777" w:rsidR="00C7769C" w:rsidRDefault="00C7769C" w:rsidP="00E34AD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012BB">
      <w:rPr>
        <w:rStyle w:val="PageNumber"/>
        <w:noProof/>
      </w:rPr>
      <w:t>1</w:t>
    </w:r>
    <w:r>
      <w:rPr>
        <w:rStyle w:val="PageNumber"/>
      </w:rPr>
      <w:fldChar w:fldCharType="end"/>
    </w:r>
  </w:p>
  <w:p w14:paraId="7B7B9C0A" w14:textId="77777777" w:rsidR="00C7769C" w:rsidRDefault="00C77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FE85E" w14:textId="77777777" w:rsidR="008B70E5" w:rsidRDefault="008B70E5" w:rsidP="00416C20">
      <w:r>
        <w:separator/>
      </w:r>
    </w:p>
  </w:footnote>
  <w:footnote w:type="continuationSeparator" w:id="0">
    <w:p w14:paraId="7D22AE4D" w14:textId="77777777" w:rsidR="008B70E5" w:rsidRDefault="008B70E5" w:rsidP="00416C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0058"/>
    <w:multiLevelType w:val="hybridMultilevel"/>
    <w:tmpl w:val="514C4E24"/>
    <w:lvl w:ilvl="0" w:tplc="5EA8E864">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2606F"/>
    <w:multiLevelType w:val="hybridMultilevel"/>
    <w:tmpl w:val="283A81B0"/>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A06AE"/>
    <w:multiLevelType w:val="hybridMultilevel"/>
    <w:tmpl w:val="F078BF3E"/>
    <w:lvl w:ilvl="0" w:tplc="5D563374">
      <w:start w:val="1"/>
      <w:numFmt w:val="bullet"/>
      <w:lvlText w:val="•"/>
      <w:lvlJc w:val="left"/>
      <w:pPr>
        <w:ind w:left="720" w:hanging="360"/>
      </w:pPr>
      <w:rPr>
        <w:rFo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F7314"/>
    <w:multiLevelType w:val="multilevel"/>
    <w:tmpl w:val="3F28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3737E"/>
    <w:multiLevelType w:val="hybridMultilevel"/>
    <w:tmpl w:val="E55A465C"/>
    <w:lvl w:ilvl="0" w:tplc="89CE2274">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A010D"/>
    <w:multiLevelType w:val="hybridMultilevel"/>
    <w:tmpl w:val="B3BE1BF6"/>
    <w:lvl w:ilvl="0" w:tplc="5EA8E864">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0F535E"/>
    <w:multiLevelType w:val="hybridMultilevel"/>
    <w:tmpl w:val="8654EF4C"/>
    <w:lvl w:ilvl="0" w:tplc="D65ABD3A">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A1538"/>
    <w:multiLevelType w:val="multilevel"/>
    <w:tmpl w:val="5A76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91104"/>
    <w:multiLevelType w:val="multilevel"/>
    <w:tmpl w:val="09EC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C07DA4"/>
    <w:multiLevelType w:val="multilevel"/>
    <w:tmpl w:val="AEF2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041062"/>
    <w:multiLevelType w:val="hybridMultilevel"/>
    <w:tmpl w:val="35A20D3A"/>
    <w:lvl w:ilvl="0" w:tplc="AB36BE6A">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6C23D5"/>
    <w:multiLevelType w:val="hybridMultilevel"/>
    <w:tmpl w:val="9A08A038"/>
    <w:lvl w:ilvl="0" w:tplc="5D563374">
      <w:start w:val="1"/>
      <w:numFmt w:val="bullet"/>
      <w:lvlText w:val="•"/>
      <w:lvlJc w:val="left"/>
      <w:pPr>
        <w:ind w:left="720" w:hanging="360"/>
      </w:pPr>
      <w:rPr>
        <w:rFo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38166E"/>
    <w:multiLevelType w:val="hybridMultilevel"/>
    <w:tmpl w:val="C11CE9B6"/>
    <w:lvl w:ilvl="0" w:tplc="5EA8E864">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232F90"/>
    <w:multiLevelType w:val="multilevel"/>
    <w:tmpl w:val="CEA63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624BA4"/>
    <w:multiLevelType w:val="multilevel"/>
    <w:tmpl w:val="4108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D14DF5"/>
    <w:multiLevelType w:val="multilevel"/>
    <w:tmpl w:val="D9B6D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1F1472"/>
    <w:multiLevelType w:val="multilevel"/>
    <w:tmpl w:val="1246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82582F"/>
    <w:multiLevelType w:val="hybridMultilevel"/>
    <w:tmpl w:val="DD9EAE28"/>
    <w:lvl w:ilvl="0" w:tplc="9F285C62">
      <w:start w:val="1"/>
      <w:numFmt w:val="bullet"/>
      <w:lvlText w:val="•"/>
      <w:lvlJc w:val="left"/>
      <w:pPr>
        <w:ind w:left="720" w:hanging="360"/>
      </w:pPr>
      <w:rPr>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FA4E7D"/>
    <w:multiLevelType w:val="multilevel"/>
    <w:tmpl w:val="A294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C628F0"/>
    <w:multiLevelType w:val="hybridMultilevel"/>
    <w:tmpl w:val="690432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1077387"/>
    <w:multiLevelType w:val="multilevel"/>
    <w:tmpl w:val="9410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BA1D18"/>
    <w:multiLevelType w:val="hybridMultilevel"/>
    <w:tmpl w:val="D6CC0578"/>
    <w:lvl w:ilvl="0" w:tplc="00000065">
      <w:start w:val="1"/>
      <w:numFmt w:val="bullet"/>
      <w:lvlText w:val="•"/>
      <w:lvlJc w:val="left"/>
      <w:pPr>
        <w:ind w:left="720" w:hanging="360"/>
      </w:pPr>
      <w:rPr>
        <w:rFo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5"/>
  </w:num>
  <w:num w:numId="4">
    <w:abstractNumId w:val="12"/>
  </w:num>
  <w:num w:numId="5">
    <w:abstractNumId w:val="0"/>
  </w:num>
  <w:num w:numId="6">
    <w:abstractNumId w:val="19"/>
  </w:num>
  <w:num w:numId="7">
    <w:abstractNumId w:val="21"/>
  </w:num>
  <w:num w:numId="8">
    <w:abstractNumId w:val="1"/>
  </w:num>
  <w:num w:numId="9">
    <w:abstractNumId w:val="17"/>
  </w:num>
  <w:num w:numId="10">
    <w:abstractNumId w:val="8"/>
  </w:num>
  <w:num w:numId="11">
    <w:abstractNumId w:val="13"/>
  </w:num>
  <w:num w:numId="12">
    <w:abstractNumId w:val="7"/>
  </w:num>
  <w:num w:numId="13">
    <w:abstractNumId w:val="14"/>
  </w:num>
  <w:num w:numId="14">
    <w:abstractNumId w:val="16"/>
  </w:num>
  <w:num w:numId="15">
    <w:abstractNumId w:val="18"/>
  </w:num>
  <w:num w:numId="16">
    <w:abstractNumId w:val="9"/>
  </w:num>
  <w:num w:numId="17">
    <w:abstractNumId w:val="20"/>
  </w:num>
  <w:num w:numId="18">
    <w:abstractNumId w:val="15"/>
  </w:num>
  <w:num w:numId="19">
    <w:abstractNumId w:val="3"/>
  </w:num>
  <w:num w:numId="20">
    <w:abstractNumId w:val="4"/>
  </w:num>
  <w:num w:numId="21">
    <w:abstractNumId w:val="1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hideSpellingErrors/>
  <w:hideGrammaticalErrors/>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06E"/>
    <w:rsid w:val="000144AE"/>
    <w:rsid w:val="000345E8"/>
    <w:rsid w:val="00060091"/>
    <w:rsid w:val="000655D7"/>
    <w:rsid w:val="00065608"/>
    <w:rsid w:val="00066EFB"/>
    <w:rsid w:val="0007767F"/>
    <w:rsid w:val="000821E2"/>
    <w:rsid w:val="00093F08"/>
    <w:rsid w:val="00094CA2"/>
    <w:rsid w:val="00094CE7"/>
    <w:rsid w:val="000A0D8F"/>
    <w:rsid w:val="000F1A69"/>
    <w:rsid w:val="000F7032"/>
    <w:rsid w:val="00100040"/>
    <w:rsid w:val="001127B5"/>
    <w:rsid w:val="00174CA8"/>
    <w:rsid w:val="001755C3"/>
    <w:rsid w:val="00175D3B"/>
    <w:rsid w:val="00194F57"/>
    <w:rsid w:val="001D2BFA"/>
    <w:rsid w:val="001D3DF1"/>
    <w:rsid w:val="001D5356"/>
    <w:rsid w:val="001D5A1D"/>
    <w:rsid w:val="001E43D8"/>
    <w:rsid w:val="001F019D"/>
    <w:rsid w:val="002012BB"/>
    <w:rsid w:val="0020747A"/>
    <w:rsid w:val="00233E90"/>
    <w:rsid w:val="0026198A"/>
    <w:rsid w:val="002662ED"/>
    <w:rsid w:val="002B4818"/>
    <w:rsid w:val="002E64E6"/>
    <w:rsid w:val="002E6992"/>
    <w:rsid w:val="002F47F1"/>
    <w:rsid w:val="00304B49"/>
    <w:rsid w:val="00314C73"/>
    <w:rsid w:val="00343610"/>
    <w:rsid w:val="003502FE"/>
    <w:rsid w:val="00392150"/>
    <w:rsid w:val="0039415B"/>
    <w:rsid w:val="003962E0"/>
    <w:rsid w:val="00396B46"/>
    <w:rsid w:val="003A5C1E"/>
    <w:rsid w:val="003C242D"/>
    <w:rsid w:val="003F44B9"/>
    <w:rsid w:val="004010B0"/>
    <w:rsid w:val="0040393C"/>
    <w:rsid w:val="00404454"/>
    <w:rsid w:val="00416C20"/>
    <w:rsid w:val="004206CC"/>
    <w:rsid w:val="00482F94"/>
    <w:rsid w:val="004A32C2"/>
    <w:rsid w:val="004A69CC"/>
    <w:rsid w:val="004F6B7F"/>
    <w:rsid w:val="00510B43"/>
    <w:rsid w:val="00534822"/>
    <w:rsid w:val="00554FEE"/>
    <w:rsid w:val="00556BF6"/>
    <w:rsid w:val="00563429"/>
    <w:rsid w:val="005864CD"/>
    <w:rsid w:val="005945AB"/>
    <w:rsid w:val="005A7E35"/>
    <w:rsid w:val="005E3510"/>
    <w:rsid w:val="0062721C"/>
    <w:rsid w:val="006361E8"/>
    <w:rsid w:val="0065603C"/>
    <w:rsid w:val="00682FC3"/>
    <w:rsid w:val="006A04A7"/>
    <w:rsid w:val="006B2296"/>
    <w:rsid w:val="00707C12"/>
    <w:rsid w:val="00735345"/>
    <w:rsid w:val="00763E9C"/>
    <w:rsid w:val="007850BD"/>
    <w:rsid w:val="00786645"/>
    <w:rsid w:val="007978C7"/>
    <w:rsid w:val="007B4FF3"/>
    <w:rsid w:val="007E0AA4"/>
    <w:rsid w:val="007F32FF"/>
    <w:rsid w:val="00817481"/>
    <w:rsid w:val="008213B2"/>
    <w:rsid w:val="00836749"/>
    <w:rsid w:val="00841783"/>
    <w:rsid w:val="00864435"/>
    <w:rsid w:val="00880DE5"/>
    <w:rsid w:val="00882CBB"/>
    <w:rsid w:val="00884AF1"/>
    <w:rsid w:val="008B70E5"/>
    <w:rsid w:val="008C5D8E"/>
    <w:rsid w:val="008E43DC"/>
    <w:rsid w:val="00902601"/>
    <w:rsid w:val="0092154F"/>
    <w:rsid w:val="00956461"/>
    <w:rsid w:val="00972069"/>
    <w:rsid w:val="00986FE4"/>
    <w:rsid w:val="009A1063"/>
    <w:rsid w:val="009E31BF"/>
    <w:rsid w:val="00A14BCA"/>
    <w:rsid w:val="00A6150B"/>
    <w:rsid w:val="00A66F3F"/>
    <w:rsid w:val="00AB1A06"/>
    <w:rsid w:val="00AB58D0"/>
    <w:rsid w:val="00AC7A19"/>
    <w:rsid w:val="00B6406E"/>
    <w:rsid w:val="00BB769D"/>
    <w:rsid w:val="00BE70A1"/>
    <w:rsid w:val="00C10F6A"/>
    <w:rsid w:val="00C12CB2"/>
    <w:rsid w:val="00C7769C"/>
    <w:rsid w:val="00CA1FDE"/>
    <w:rsid w:val="00CA4838"/>
    <w:rsid w:val="00CB58AC"/>
    <w:rsid w:val="00CB77AF"/>
    <w:rsid w:val="00CC2A24"/>
    <w:rsid w:val="00CF47C5"/>
    <w:rsid w:val="00CF76FA"/>
    <w:rsid w:val="00D63171"/>
    <w:rsid w:val="00D64DB3"/>
    <w:rsid w:val="00D75F8E"/>
    <w:rsid w:val="00D84052"/>
    <w:rsid w:val="00D975AF"/>
    <w:rsid w:val="00DB33E5"/>
    <w:rsid w:val="00DC3EB6"/>
    <w:rsid w:val="00DF4635"/>
    <w:rsid w:val="00E212F2"/>
    <w:rsid w:val="00E21F07"/>
    <w:rsid w:val="00E232FE"/>
    <w:rsid w:val="00E276FF"/>
    <w:rsid w:val="00E32E29"/>
    <w:rsid w:val="00E511DB"/>
    <w:rsid w:val="00E76634"/>
    <w:rsid w:val="00E76C38"/>
    <w:rsid w:val="00E8524E"/>
    <w:rsid w:val="00E87199"/>
    <w:rsid w:val="00E90251"/>
    <w:rsid w:val="00E90BAD"/>
    <w:rsid w:val="00E944DB"/>
    <w:rsid w:val="00ED77E4"/>
    <w:rsid w:val="00F00966"/>
    <w:rsid w:val="00F0717A"/>
    <w:rsid w:val="00F51145"/>
    <w:rsid w:val="00F55FAA"/>
    <w:rsid w:val="00F642CC"/>
    <w:rsid w:val="00F739E5"/>
    <w:rsid w:val="00F77FA5"/>
    <w:rsid w:val="00F83DA6"/>
    <w:rsid w:val="00FA7CF8"/>
    <w:rsid w:val="00FB6FB8"/>
    <w:rsid w:val="00FD7429"/>
    <w:rsid w:val="00FE1D48"/>
    <w:rsid w:val="00FE2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CF90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0F6A"/>
    <w:pPr>
      <w:spacing w:line="276" w:lineRule="auto"/>
      <w:outlineLvl w:val="0"/>
    </w:pPr>
    <w:rPr>
      <w:rFonts w:ascii="Merriweather" w:hAnsi="Merriweather"/>
      <w:b/>
      <w:noProof/>
      <w:shd w:val="clear" w:color="auto" w:fill="DEEAF6" w:themeFill="accent5" w:themeFillTint="3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7AF"/>
    <w:pPr>
      <w:ind w:left="720"/>
      <w:contextualSpacing/>
    </w:pPr>
  </w:style>
  <w:style w:type="paragraph" w:styleId="Header">
    <w:name w:val="header"/>
    <w:basedOn w:val="Normal"/>
    <w:link w:val="HeaderChar"/>
    <w:uiPriority w:val="99"/>
    <w:unhideWhenUsed/>
    <w:rsid w:val="00416C20"/>
    <w:pPr>
      <w:tabs>
        <w:tab w:val="center" w:pos="4680"/>
        <w:tab w:val="right" w:pos="9360"/>
      </w:tabs>
    </w:pPr>
  </w:style>
  <w:style w:type="character" w:customStyle="1" w:styleId="HeaderChar">
    <w:name w:val="Header Char"/>
    <w:basedOn w:val="DefaultParagraphFont"/>
    <w:link w:val="Header"/>
    <w:uiPriority w:val="99"/>
    <w:rsid w:val="00416C20"/>
  </w:style>
  <w:style w:type="paragraph" w:styleId="Footer">
    <w:name w:val="footer"/>
    <w:basedOn w:val="Normal"/>
    <w:link w:val="FooterChar"/>
    <w:uiPriority w:val="99"/>
    <w:unhideWhenUsed/>
    <w:rsid w:val="00416C20"/>
    <w:pPr>
      <w:tabs>
        <w:tab w:val="center" w:pos="4680"/>
        <w:tab w:val="right" w:pos="9360"/>
      </w:tabs>
    </w:pPr>
  </w:style>
  <w:style w:type="character" w:customStyle="1" w:styleId="FooterChar">
    <w:name w:val="Footer Char"/>
    <w:basedOn w:val="DefaultParagraphFont"/>
    <w:link w:val="Footer"/>
    <w:uiPriority w:val="99"/>
    <w:rsid w:val="00416C20"/>
  </w:style>
  <w:style w:type="table" w:styleId="TableGrid">
    <w:name w:val="Table Grid"/>
    <w:basedOn w:val="TableNormal"/>
    <w:uiPriority w:val="39"/>
    <w:rsid w:val="00FA7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2154F"/>
    <w:pPr>
      <w:contextualSpacing/>
      <w:jc w:val="center"/>
    </w:pPr>
    <w:rPr>
      <w:rFonts w:ascii="Amatic SC" w:eastAsiaTheme="majorEastAsia" w:hAnsi="Amatic SC" w:cstheme="majorBidi"/>
      <w:b/>
      <w:noProof/>
      <w:color w:val="FFFFFF" w:themeColor="background1"/>
      <w:spacing w:val="-10"/>
      <w:kern w:val="28"/>
      <w:sz w:val="72"/>
      <w:szCs w:val="72"/>
    </w:rPr>
  </w:style>
  <w:style w:type="character" w:customStyle="1" w:styleId="TitleChar">
    <w:name w:val="Title Char"/>
    <w:basedOn w:val="DefaultParagraphFont"/>
    <w:link w:val="Title"/>
    <w:uiPriority w:val="10"/>
    <w:rsid w:val="0092154F"/>
    <w:rPr>
      <w:rFonts w:ascii="Amatic SC" w:eastAsiaTheme="majorEastAsia" w:hAnsi="Amatic SC" w:cstheme="majorBidi"/>
      <w:b/>
      <w:noProof/>
      <w:color w:val="FFFFFF" w:themeColor="background1"/>
      <w:spacing w:val="-10"/>
      <w:kern w:val="28"/>
      <w:sz w:val="72"/>
      <w:szCs w:val="72"/>
    </w:rPr>
  </w:style>
  <w:style w:type="paragraph" w:styleId="Subtitle">
    <w:name w:val="Subtitle"/>
    <w:basedOn w:val="Normal"/>
    <w:next w:val="Normal"/>
    <w:link w:val="SubtitleChar"/>
    <w:uiPriority w:val="11"/>
    <w:qFormat/>
    <w:rsid w:val="0092154F"/>
    <w:pPr>
      <w:numPr>
        <w:ilvl w:val="1"/>
      </w:numPr>
      <w:jc w:val="center"/>
    </w:pPr>
    <w:rPr>
      <w:rFonts w:ascii="Merriweather" w:eastAsiaTheme="minorEastAsia" w:hAnsi="Merriweather"/>
      <w:b/>
      <w:bCs/>
      <w:color w:val="FFFFFF" w:themeColor="background1"/>
      <w:spacing w:val="15"/>
      <w:sz w:val="28"/>
      <w:szCs w:val="28"/>
    </w:rPr>
  </w:style>
  <w:style w:type="character" w:customStyle="1" w:styleId="SubtitleChar">
    <w:name w:val="Subtitle Char"/>
    <w:basedOn w:val="DefaultParagraphFont"/>
    <w:link w:val="Subtitle"/>
    <w:uiPriority w:val="11"/>
    <w:rsid w:val="0092154F"/>
    <w:rPr>
      <w:rFonts w:ascii="Merriweather" w:eastAsiaTheme="minorEastAsia" w:hAnsi="Merriweather"/>
      <w:b/>
      <w:bCs/>
      <w:color w:val="FFFFFF" w:themeColor="background1"/>
      <w:spacing w:val="15"/>
      <w:sz w:val="28"/>
      <w:szCs w:val="28"/>
    </w:rPr>
  </w:style>
  <w:style w:type="character" w:customStyle="1" w:styleId="Heading1Char">
    <w:name w:val="Heading 1 Char"/>
    <w:basedOn w:val="DefaultParagraphFont"/>
    <w:link w:val="Heading1"/>
    <w:uiPriority w:val="9"/>
    <w:rsid w:val="00C10F6A"/>
    <w:rPr>
      <w:rFonts w:ascii="Merriweather" w:hAnsi="Merriweather"/>
      <w:b/>
      <w:noProof/>
    </w:rPr>
  </w:style>
  <w:style w:type="character" w:styleId="PageNumber">
    <w:name w:val="page number"/>
    <w:basedOn w:val="DefaultParagraphFont"/>
    <w:uiPriority w:val="99"/>
    <w:semiHidden/>
    <w:unhideWhenUsed/>
    <w:rsid w:val="00C7769C"/>
  </w:style>
  <w:style w:type="paragraph" w:styleId="IntenseQuote">
    <w:name w:val="Intense Quote"/>
    <w:basedOn w:val="Normal"/>
    <w:next w:val="Normal"/>
    <w:link w:val="IntenseQuoteChar"/>
    <w:uiPriority w:val="30"/>
    <w:qFormat/>
    <w:rsid w:val="00C7769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7769C"/>
    <w:rPr>
      <w:i/>
      <w:iCs/>
      <w:color w:val="4472C4" w:themeColor="accent1"/>
    </w:rPr>
  </w:style>
  <w:style w:type="paragraph" w:styleId="Quote">
    <w:name w:val="Quote"/>
    <w:basedOn w:val="Normal"/>
    <w:next w:val="Normal"/>
    <w:link w:val="QuoteChar"/>
    <w:uiPriority w:val="29"/>
    <w:qFormat/>
    <w:rsid w:val="00C776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769C"/>
    <w:rPr>
      <w:i/>
      <w:iCs/>
      <w:color w:val="404040" w:themeColor="text1" w:themeTint="BF"/>
    </w:rPr>
  </w:style>
  <w:style w:type="character" w:styleId="SubtleEmphasis">
    <w:name w:val="Subtle Emphasis"/>
    <w:basedOn w:val="DefaultParagraphFont"/>
    <w:uiPriority w:val="19"/>
    <w:qFormat/>
    <w:rsid w:val="00C7769C"/>
  </w:style>
  <w:style w:type="paragraph" w:styleId="FootnoteText">
    <w:name w:val="footnote text"/>
    <w:basedOn w:val="Normal"/>
    <w:link w:val="FootnoteTextChar"/>
    <w:uiPriority w:val="99"/>
    <w:unhideWhenUsed/>
    <w:rsid w:val="00F83DA6"/>
  </w:style>
  <w:style w:type="character" w:customStyle="1" w:styleId="FootnoteTextChar">
    <w:name w:val="Footnote Text Char"/>
    <w:basedOn w:val="DefaultParagraphFont"/>
    <w:link w:val="FootnoteText"/>
    <w:uiPriority w:val="99"/>
    <w:rsid w:val="00F83DA6"/>
  </w:style>
  <w:style w:type="character" w:styleId="FootnoteReference">
    <w:name w:val="footnote reference"/>
    <w:basedOn w:val="DefaultParagraphFont"/>
    <w:uiPriority w:val="99"/>
    <w:unhideWhenUsed/>
    <w:rsid w:val="00F83DA6"/>
    <w:rPr>
      <w:vertAlign w:val="superscript"/>
    </w:rPr>
  </w:style>
  <w:style w:type="paragraph" w:styleId="NormalWeb">
    <w:name w:val="Normal (Web)"/>
    <w:basedOn w:val="Normal"/>
    <w:uiPriority w:val="99"/>
    <w:unhideWhenUsed/>
    <w:rsid w:val="00094CA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99376">
      <w:bodyDiv w:val="1"/>
      <w:marLeft w:val="0"/>
      <w:marRight w:val="0"/>
      <w:marTop w:val="0"/>
      <w:marBottom w:val="0"/>
      <w:divBdr>
        <w:top w:val="none" w:sz="0" w:space="0" w:color="auto"/>
        <w:left w:val="none" w:sz="0" w:space="0" w:color="auto"/>
        <w:bottom w:val="none" w:sz="0" w:space="0" w:color="auto"/>
        <w:right w:val="none" w:sz="0" w:space="0" w:color="auto"/>
      </w:divBdr>
    </w:div>
    <w:div w:id="744492702">
      <w:bodyDiv w:val="1"/>
      <w:marLeft w:val="0"/>
      <w:marRight w:val="0"/>
      <w:marTop w:val="0"/>
      <w:marBottom w:val="0"/>
      <w:divBdr>
        <w:top w:val="none" w:sz="0" w:space="0" w:color="auto"/>
        <w:left w:val="none" w:sz="0" w:space="0" w:color="auto"/>
        <w:bottom w:val="none" w:sz="0" w:space="0" w:color="auto"/>
        <w:right w:val="none" w:sz="0" w:space="0" w:color="auto"/>
      </w:divBdr>
    </w:div>
    <w:div w:id="957493570">
      <w:bodyDiv w:val="1"/>
      <w:marLeft w:val="0"/>
      <w:marRight w:val="0"/>
      <w:marTop w:val="0"/>
      <w:marBottom w:val="0"/>
      <w:divBdr>
        <w:top w:val="none" w:sz="0" w:space="0" w:color="auto"/>
        <w:left w:val="none" w:sz="0" w:space="0" w:color="auto"/>
        <w:bottom w:val="none" w:sz="0" w:space="0" w:color="auto"/>
        <w:right w:val="none" w:sz="0" w:space="0" w:color="auto"/>
      </w:divBdr>
    </w:div>
    <w:div w:id="1225138025">
      <w:bodyDiv w:val="1"/>
      <w:marLeft w:val="0"/>
      <w:marRight w:val="0"/>
      <w:marTop w:val="0"/>
      <w:marBottom w:val="0"/>
      <w:divBdr>
        <w:top w:val="none" w:sz="0" w:space="0" w:color="auto"/>
        <w:left w:val="none" w:sz="0" w:space="0" w:color="auto"/>
        <w:bottom w:val="none" w:sz="0" w:space="0" w:color="auto"/>
        <w:right w:val="none" w:sz="0" w:space="0" w:color="auto"/>
      </w:divBdr>
    </w:div>
    <w:div w:id="1829249688">
      <w:bodyDiv w:val="1"/>
      <w:marLeft w:val="0"/>
      <w:marRight w:val="0"/>
      <w:marTop w:val="0"/>
      <w:marBottom w:val="0"/>
      <w:divBdr>
        <w:top w:val="none" w:sz="0" w:space="0" w:color="auto"/>
        <w:left w:val="none" w:sz="0" w:space="0" w:color="auto"/>
        <w:bottom w:val="none" w:sz="0" w:space="0" w:color="auto"/>
        <w:right w:val="none" w:sz="0" w:space="0" w:color="auto"/>
      </w:divBdr>
      <w:divsChild>
        <w:div w:id="426275419">
          <w:marLeft w:val="-36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C50170D-0BCA-3041-A56C-E6A3E1699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Pages>
  <Words>1026</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Schofield</dc:creator>
  <cp:keywords/>
  <dc:description/>
  <cp:lastModifiedBy>Brianna Schofield</cp:lastModifiedBy>
  <cp:revision>10</cp:revision>
  <dcterms:created xsi:type="dcterms:W3CDTF">2020-04-07T17:00:00Z</dcterms:created>
  <dcterms:modified xsi:type="dcterms:W3CDTF">2020-04-23T18:40:00Z</dcterms:modified>
</cp:coreProperties>
</file>