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2">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Submitted by Yuanxiao Xu on Behalf of Authors Alliance</w:t>
      </w:r>
    </w:p>
    <w:p w:rsidR="00000000" w:rsidDel="00000000" w:rsidP="00000000" w:rsidRDefault="00000000" w:rsidRPr="00000000" w14:paraId="00000003">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4">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5">
      <w:pPr>
        <w:jc w:val="center"/>
        <w:rPr>
          <w:rFonts w:ascii="Georgia" w:cs="Georgia" w:eastAsia="Georgia" w:hAnsi="Georgia"/>
          <w:b w:val="1"/>
          <w:bCs w:val="1"/>
          <w:sz w:val="28"/>
          <w:szCs w:val="28"/>
        </w:rPr>
      </w:pPr>
      <w:r w:rsidDel="00000000" w:rsidR="00000000" w:rsidRPr="00000000">
        <w:rPr>
          <w:rFonts w:ascii="Georgia" w:cs="Georgia" w:eastAsia="Georgia" w:hAnsi="Georgia"/>
          <w:b w:val="1"/>
          <w:bCs w:val="1"/>
          <w:sz w:val="28"/>
          <w:szCs w:val="28"/>
          <w:rtl w:val="0"/>
        </w:rPr>
        <w:t xml:space="preserve">Before the COPYRIGHT OFFICE </w:t>
      </w:r>
    </w:p>
    <w:p w:rsidR="00000000" w:rsidDel="00000000" w:rsidP="00000000" w:rsidRDefault="00000000" w:rsidRPr="00000000" w14:paraId="00000006">
      <w:pPr>
        <w:jc w:val="center"/>
        <w:rPr>
          <w:rFonts w:ascii="Georgia" w:cs="Georgia" w:eastAsia="Georgia" w:hAnsi="Georgia"/>
          <w:b w:val="1"/>
          <w:bCs w:val="1"/>
          <w:sz w:val="28"/>
          <w:szCs w:val="28"/>
        </w:rPr>
      </w:pPr>
      <w:r w:rsidDel="00000000" w:rsidR="00000000" w:rsidRPr="00000000">
        <w:rPr>
          <w:rFonts w:ascii="Georgia" w:cs="Georgia" w:eastAsia="Georgia" w:hAnsi="Georgia"/>
          <w:b w:val="1"/>
          <w:bCs w:val="1"/>
          <w:sz w:val="28"/>
          <w:szCs w:val="28"/>
          <w:rtl w:val="0"/>
        </w:rPr>
        <w:t xml:space="preserve">LIBRARY OF CONGRESS </w:t>
      </w:r>
    </w:p>
    <w:p w:rsidR="00000000" w:rsidDel="00000000" w:rsidP="00000000" w:rsidRDefault="00000000" w:rsidRPr="00000000" w14:paraId="00000007">
      <w:pPr>
        <w:jc w:val="center"/>
        <w:rPr>
          <w:rFonts w:ascii="Georgia" w:cs="Georgia" w:eastAsia="Georgia" w:hAnsi="Georgia"/>
          <w:b w:val="1"/>
          <w:bCs w:val="1"/>
          <w:sz w:val="28"/>
          <w:szCs w:val="28"/>
        </w:rPr>
      </w:pPr>
      <w:r w:rsidDel="00000000" w:rsidR="00000000" w:rsidRPr="00000000">
        <w:rPr>
          <w:rFonts w:ascii="Georgia" w:cs="Georgia" w:eastAsia="Georgia" w:hAnsi="Georgia"/>
          <w:b w:val="1"/>
          <w:bCs w:val="1"/>
          <w:sz w:val="28"/>
          <w:szCs w:val="28"/>
          <w:rtl w:val="0"/>
        </w:rPr>
        <w:t xml:space="preserve">Washington, D.C.</w:t>
      </w:r>
    </w:p>
    <w:p w:rsidR="00000000" w:rsidDel="00000000" w:rsidP="00000000" w:rsidRDefault="00000000" w:rsidRPr="00000000" w14:paraId="00000008">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9">
      <w:pPr>
        <w:rPr>
          <w:rFonts w:ascii="Georgia" w:cs="Georgia" w:eastAsia="Georgia" w:hAnsi="Georgia"/>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40"/>
        <w:gridCol w:w="4620"/>
        <w:tblGridChange w:id="0">
          <w:tblGrid>
            <w:gridCol w:w="4740"/>
            <w:gridCol w:w="4620"/>
          </w:tblGrid>
        </w:tblGridChange>
      </w:tblGrid>
      <w:tr>
        <w:trPr>
          <w:cantSplit w:val="0"/>
          <w:trHeight w:val="1301.8505859375" w:hRule="atLeast"/>
          <w:tblHeader w:val="0"/>
        </w:trPr>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A">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B">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C">
            <w:pPr>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In the Matter of: </w:t>
            </w:r>
          </w:p>
          <w:p w:rsidR="00000000" w:rsidDel="00000000" w:rsidP="00000000" w:rsidRDefault="00000000" w:rsidRPr="00000000" w14:paraId="0000000D">
            <w:pPr>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Copyright Office Fees </w:t>
            </w:r>
          </w:p>
          <w:p w:rsidR="00000000" w:rsidDel="00000000" w:rsidP="00000000" w:rsidRDefault="00000000" w:rsidRPr="00000000" w14:paraId="0000000E">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F">
            <w:pPr>
              <w:rPr>
                <w:rFonts w:ascii="Georgia" w:cs="Georgia" w:eastAsia="Georgia" w:hAnsi="Georgia"/>
                <w:sz w:val="24"/>
                <w:szCs w:val="24"/>
              </w:rPr>
            </w:pPr>
            <w:r w:rsidDel="00000000" w:rsidR="00000000" w:rsidRPr="00000000">
              <w:rPr>
                <w:rtl w:val="0"/>
              </w:rPr>
            </w:r>
          </w:p>
        </w:tc>
        <w:tc>
          <w:tcPr>
            <w:tcBorders>
              <w:top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                    Docket No. 2026–2</w:t>
            </w:r>
          </w:p>
        </w:tc>
      </w:tr>
    </w:tbl>
    <w:p w:rsidR="00000000" w:rsidDel="00000000" w:rsidP="00000000" w:rsidRDefault="00000000" w:rsidRPr="00000000" w14:paraId="00000014">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5">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6">
      <w:pPr>
        <w:spacing w:after="200" w:lineRule="auto"/>
        <w:ind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Authors Alliance</w:t>
      </w:r>
      <w:r w:rsidDel="00000000" w:rsidR="00000000" w:rsidRPr="00000000">
        <w:rPr>
          <w:rFonts w:ascii="Georgia" w:cs="Georgia" w:eastAsia="Georgia" w:hAnsi="Georgia"/>
          <w:sz w:val="24"/>
          <w:szCs w:val="24"/>
          <w:vertAlign w:val="superscript"/>
        </w:rPr>
        <w:footnoteReference w:customMarkFollows="0" w:id="0"/>
      </w:r>
      <w:r w:rsidDel="00000000" w:rsidR="00000000" w:rsidRPr="00000000">
        <w:rPr>
          <w:rFonts w:ascii="Georgia" w:cs="Georgia" w:eastAsia="Georgia" w:hAnsi="Georgia"/>
          <w:sz w:val="24"/>
          <w:szCs w:val="24"/>
          <w:rtl w:val="0"/>
        </w:rPr>
        <w:t xml:space="preserve"> is pleased to provide these Comments in response to the Notice of Proposed Rulemaking (“NPRM”) published by the Copyright Office (the “Office”) on March 20, 2026. </w:t>
      </w:r>
      <w:r w:rsidDel="00000000" w:rsidR="00000000" w:rsidRPr="00000000">
        <w:rPr>
          <w:rFonts w:ascii="Georgia" w:cs="Georgia" w:eastAsia="Georgia" w:hAnsi="Georgia"/>
          <w:i w:val="1"/>
          <w:iCs w:val="1"/>
          <w:sz w:val="24"/>
          <w:szCs w:val="24"/>
          <w:rtl w:val="0"/>
        </w:rPr>
        <w:t xml:space="preserve">See</w:t>
      </w:r>
      <w:r w:rsidDel="00000000" w:rsidR="00000000" w:rsidRPr="00000000">
        <w:rPr>
          <w:rFonts w:ascii="Georgia" w:cs="Georgia" w:eastAsia="Georgia" w:hAnsi="Georgia"/>
          <w:sz w:val="24"/>
          <w:szCs w:val="24"/>
          <w:rtl w:val="0"/>
        </w:rPr>
        <w:t xml:space="preserve"> 91 FR 13529.</w:t>
      </w:r>
    </w:p>
    <w:p w:rsidR="00000000" w:rsidDel="00000000" w:rsidP="00000000" w:rsidRDefault="00000000" w:rsidRPr="00000000" w14:paraId="00000017">
      <w:pPr>
        <w:spacing w:after="200" w:lineRule="auto"/>
        <w:ind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First of all, we commend the Office for apportioning “more cost recovery to services that are primarily used by corporate organizations, and less to services used by individual creators.” We especially appreciate that “the Office proposes more substantial fee increases for the group options to register photographic and non-photographic databases, and updates to news websites. Because these options primarily serve corporate applicants, we are allocating a greater portion of costs to these fees.” When authors' wages have persistently failed to keep pace with inflation and individual creators increasingly struggle to sustain a livelihood from their work, it is more important than ever that the Office continue to shield individual authors from bearing a disproportionate share of administrative costs.</w:t>
      </w:r>
    </w:p>
    <w:p w:rsidR="00000000" w:rsidDel="00000000" w:rsidP="00000000" w:rsidRDefault="00000000" w:rsidRPr="00000000" w14:paraId="00000018">
      <w:pPr>
        <w:spacing w:after="200" w:lineRule="auto"/>
        <w:ind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Overall, we appreciate the Office’s effort to recover costs and maintain high-quality services, and we support the principle that fees should reflect reasonable administrative expenses. We fully support the Office’s stated “policy goals of promoting creativity and enabling the effective exercise of rights” as the Office determines a new fee schedule.</w:t>
      </w:r>
    </w:p>
    <w:p w:rsidR="00000000" w:rsidDel="00000000" w:rsidP="00000000" w:rsidRDefault="00000000" w:rsidRPr="00000000" w14:paraId="00000019">
      <w:pPr>
        <w:spacing w:after="200" w:lineRule="auto"/>
        <w:ind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Yet, the proposed fee for recording termination does not support the said “policy goals” nor the Office’s legal obligation under 708(b)(4) to give "due consideration to the objectives of the copyright system." The new fee schedule proposes a drastic increase in the fee for recording termination, particularly when compared to fees for other essential services for individual creators. </w:t>
      </w:r>
    </w:p>
    <w:p w:rsidR="00000000" w:rsidDel="00000000" w:rsidP="00000000" w:rsidRDefault="00000000" w:rsidRPr="00000000" w14:paraId="0000001A">
      <w:pPr>
        <w:spacing w:after="200" w:lineRule="auto"/>
        <w:ind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fee for recording termination is proposed to increase by a staggering 126%, when standard registration fee will increase 30%. Termination recordation is an area where subsidization is appropriate on the same logic that supports subsidizing registration. The Office notes in the proposed rule that some services are intentionally subsidized to promote participation in the copyright system, particularly when doing so advances the objectives of copyright law and encourages creation. The disparity in proposed fee increases for  termination and registration does not align with the similar importance of the two services to human authors—both termination and registration are fundamental to the incentivizing of creativity in our cultural sector. </w:t>
      </w:r>
    </w:p>
    <w:p w:rsidR="00000000" w:rsidDel="00000000" w:rsidP="00000000" w:rsidRDefault="00000000" w:rsidRPr="00000000" w14:paraId="0000001B">
      <w:pPr>
        <w:spacing w:after="200" w:lineRule="auto"/>
        <w:ind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Importantly, termination is a guaranteed right that is designed to empower—instead of burden—human authors. If the Office is to choose a service to heavily subsidize, we recommend that the Office subsidize the recordation of termination notice. As many legal scholars have noted, there are already too many hurdles for authors exercising their inalienable termination rights.</w:t>
      </w:r>
      <w:r w:rsidDel="00000000" w:rsidR="00000000" w:rsidRPr="00000000">
        <w:rPr>
          <w:rFonts w:ascii="Georgia" w:cs="Georgia" w:eastAsia="Georgia" w:hAnsi="Georgia"/>
          <w:sz w:val="24"/>
          <w:szCs w:val="24"/>
          <w:vertAlign w:val="superscript"/>
        </w:rPr>
        <w:footnoteReference w:customMarkFollows="0" w:id="1"/>
      </w:r>
      <w:r w:rsidDel="00000000" w:rsidR="00000000" w:rsidRPr="00000000">
        <w:rPr>
          <w:rFonts w:ascii="Georgia" w:cs="Georgia" w:eastAsia="Georgia" w:hAnsi="Georgia"/>
          <w:sz w:val="24"/>
          <w:szCs w:val="24"/>
          <w:rtl w:val="0"/>
        </w:rPr>
        <w:t xml:space="preserve"> Increasing the fee for termination would further diminish an author’s willingness to exercise this right, putting authors at a significant disadvantage relative to what was originally intended by the 1976 Copyright Act. </w:t>
      </w:r>
    </w:p>
    <w:p w:rsidR="00000000" w:rsidDel="00000000" w:rsidP="00000000" w:rsidRDefault="00000000" w:rsidRPr="00000000" w14:paraId="0000001C">
      <w:pPr>
        <w:spacing w:after="200" w:lineRule="auto"/>
        <w:ind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We therefore urge the Office to </w:t>
      </w:r>
      <w:r w:rsidDel="00000000" w:rsidR="00000000" w:rsidRPr="00000000">
        <w:rPr>
          <w:rFonts w:ascii="Georgia" w:cs="Georgia" w:eastAsia="Georgia" w:hAnsi="Georgia"/>
          <w:b w:val="1"/>
          <w:bCs w:val="1"/>
          <w:sz w:val="24"/>
          <w:szCs w:val="24"/>
          <w:u w:val="single"/>
          <w:rtl w:val="0"/>
        </w:rPr>
        <w:t xml:space="preserve">cap</w:t>
      </w:r>
      <w:r w:rsidDel="00000000" w:rsidR="00000000" w:rsidRPr="00000000">
        <w:rPr>
          <w:rFonts w:ascii="Georgia" w:cs="Georgia" w:eastAsia="Georgia" w:hAnsi="Georgia"/>
          <w:sz w:val="24"/>
          <w:szCs w:val="24"/>
          <w:u w:val="single"/>
          <w:rtl w:val="0"/>
        </w:rPr>
        <w:t xml:space="preserve"> the fee increase for recording termination</w:t>
      </w:r>
      <w:r w:rsidDel="00000000" w:rsidR="00000000" w:rsidRPr="00000000">
        <w:rPr>
          <w:rFonts w:ascii="Georgia" w:cs="Georgia" w:eastAsia="Georgia" w:hAnsi="Georgia"/>
          <w:sz w:val="24"/>
          <w:szCs w:val="24"/>
          <w:rtl w:val="0"/>
        </w:rPr>
        <w:t xml:space="preserve"> notice to the “average of 43%” increase in its services, making the </w:t>
      </w:r>
      <w:r w:rsidDel="00000000" w:rsidR="00000000" w:rsidRPr="00000000">
        <w:rPr>
          <w:rFonts w:ascii="Georgia" w:cs="Georgia" w:eastAsia="Georgia" w:hAnsi="Georgia"/>
          <w:sz w:val="24"/>
          <w:szCs w:val="24"/>
          <w:u w:val="single"/>
          <w:rtl w:val="0"/>
        </w:rPr>
        <w:t xml:space="preserve">fee for recording termination notice </w:t>
      </w:r>
      <w:r w:rsidDel="00000000" w:rsidR="00000000" w:rsidRPr="00000000">
        <w:rPr>
          <w:rFonts w:ascii="Georgia" w:cs="Georgia" w:eastAsia="Georgia" w:hAnsi="Georgia"/>
          <w:b w:val="1"/>
          <w:bCs w:val="1"/>
          <w:sz w:val="24"/>
          <w:szCs w:val="24"/>
          <w:u w:val="single"/>
          <w:rtl w:val="0"/>
        </w:rPr>
        <w:t xml:space="preserve">no more than</w:t>
      </w:r>
      <w:r w:rsidDel="00000000" w:rsidR="00000000" w:rsidRPr="00000000">
        <w:rPr>
          <w:rFonts w:ascii="Georgia" w:cs="Georgia" w:eastAsia="Georgia" w:hAnsi="Georgia"/>
          <w:sz w:val="24"/>
          <w:szCs w:val="24"/>
          <w:u w:val="single"/>
          <w:rtl w:val="0"/>
        </w:rPr>
        <w:t xml:space="preserve"> $135.85 for electronic and $178.75 for paper.</w:t>
      </w:r>
      <w:r w:rsidDel="00000000" w:rsidR="00000000" w:rsidRPr="00000000">
        <w:rPr>
          <w:rFonts w:ascii="Georgia" w:cs="Georgia" w:eastAsia="Georgia" w:hAnsi="Georgia"/>
          <w:i w:val="1"/>
          <w:iCs w:val="1"/>
          <w:sz w:val="24"/>
          <w:szCs w:val="24"/>
          <w:rtl w:val="0"/>
        </w:rPr>
        <w:t xml:space="preserve"> </w:t>
      </w:r>
      <w:r w:rsidDel="00000000" w:rsidR="00000000" w:rsidRPr="00000000">
        <w:rPr>
          <w:rFonts w:ascii="Georgia" w:cs="Georgia" w:eastAsia="Georgia" w:hAnsi="Georgia"/>
          <w:sz w:val="24"/>
          <w:szCs w:val="24"/>
          <w:rtl w:val="0"/>
        </w:rPr>
        <w:t xml:space="preserve">We also urge the Office to consider the possibility of further limiting the fee increase to account for the fact that many authors are priced out of exercising this essential right, which was designed expressly for their benefit.</w:t>
      </w:r>
    </w:p>
    <w:p w:rsidR="00000000" w:rsidDel="00000000" w:rsidP="00000000" w:rsidRDefault="00000000" w:rsidRPr="00000000" w14:paraId="0000001D">
      <w:pPr>
        <w:spacing w:after="200" w:lineRule="auto"/>
        <w:ind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Additionally, we are perplexed by the high cost associated with recording termination notice. For comparison, registration entails labor-intensive review by trained professionals, yet standard registration for a literary work with e-deposits—the most costly category of work out of all standard registrations—has a direct cost of $21.37 and indirect cost of $125.14 per registration, or $146.52 in total. Yet recording termination notice is reported to incur a direct cost of $95.68 and indirect cost of $1,006.88, totaling $1,102.56 for each electronic submission.</w:t>
      </w:r>
      <w:r w:rsidDel="00000000" w:rsidR="00000000" w:rsidRPr="00000000">
        <w:rPr>
          <w:rFonts w:ascii="Georgia" w:cs="Georgia" w:eastAsia="Georgia" w:hAnsi="Georgia"/>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1E">
      <w:pPr>
        <w:spacing w:after="200" w:lineRule="auto"/>
        <w:ind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We would appreciate the Office’s insight on why </w:t>
      </w:r>
      <w:r w:rsidDel="00000000" w:rsidR="00000000" w:rsidRPr="00000000">
        <w:rPr>
          <w:rFonts w:ascii="Georgia" w:cs="Georgia" w:eastAsia="Georgia" w:hAnsi="Georgia"/>
          <w:sz w:val="24"/>
          <w:szCs w:val="24"/>
          <w:u w:val="single"/>
          <w:rtl w:val="0"/>
        </w:rPr>
        <w:t xml:space="preserve">recording termination notices require </w:t>
      </w:r>
      <w:r w:rsidDel="00000000" w:rsidR="00000000" w:rsidRPr="00000000">
        <w:rPr>
          <w:rFonts w:ascii="Georgia" w:cs="Georgia" w:eastAsia="Georgia" w:hAnsi="Georgia"/>
          <w:b w:val="1"/>
          <w:bCs w:val="1"/>
          <w:sz w:val="24"/>
          <w:szCs w:val="24"/>
          <w:u w:val="single"/>
          <w:rtl w:val="0"/>
        </w:rPr>
        <w:t xml:space="preserve">8.5x</w:t>
      </w:r>
      <w:r w:rsidDel="00000000" w:rsidR="00000000" w:rsidRPr="00000000">
        <w:rPr>
          <w:rFonts w:ascii="Georgia" w:cs="Georgia" w:eastAsia="Georgia" w:hAnsi="Georgia"/>
          <w:sz w:val="24"/>
          <w:szCs w:val="24"/>
          <w:u w:val="single"/>
          <w:rtl w:val="0"/>
        </w:rPr>
        <w:t xml:space="preserve"> the expenditure in staff training and similar expenses as registering a new copyright.</w:t>
      </w:r>
      <w:r w:rsidDel="00000000" w:rsidR="00000000" w:rsidRPr="00000000">
        <w:rPr>
          <w:rFonts w:ascii="Georgia" w:cs="Georgia" w:eastAsia="Georgia" w:hAnsi="Georgia"/>
          <w:sz w:val="24"/>
          <w:szCs w:val="24"/>
          <w:rtl w:val="0"/>
        </w:rPr>
        <w:t xml:space="preserve"> At the same time, we would like to find out </w:t>
      </w:r>
      <w:r w:rsidDel="00000000" w:rsidR="00000000" w:rsidRPr="00000000">
        <w:rPr>
          <w:rFonts w:ascii="Georgia" w:cs="Georgia" w:eastAsia="Georgia" w:hAnsi="Georgia"/>
          <w:sz w:val="24"/>
          <w:szCs w:val="24"/>
          <w:rtl w:val="0"/>
        </w:rPr>
        <w:t xml:space="preserve">whether counter-notice processing costs are being folded into the fee for recording termination notice, and whether authors alone are made to bear those costs. To be clear, we do not think the Office should ask authors to bear the cost of processing counter-notices. Termination was introduced by Congress as a more powerful safeguard for authors than the renewal system that existed before; therefore it should never be made financially more burdensome to exercise. Furthermore, intermediaries are incentivized to oppose termination notice even without the counter-notice fee exemption. </w:t>
      </w:r>
    </w:p>
    <w:p w:rsidR="00000000" w:rsidDel="00000000" w:rsidP="00000000" w:rsidRDefault="00000000" w:rsidRPr="00000000" w14:paraId="0000001F">
      <w:pPr>
        <w:spacing w:after="200" w:lineRule="auto"/>
        <w:ind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Making recording termination notices affordable for authors advances the fundamental purpose of copyright law by increasing public access to creative works.</w:t>
      </w:r>
      <w:r w:rsidDel="00000000" w:rsidR="00000000" w:rsidRPr="00000000">
        <w:rPr>
          <w:rFonts w:ascii="Georgia" w:cs="Georgia" w:eastAsia="Georgia" w:hAnsi="Georgia"/>
          <w:sz w:val="24"/>
          <w:szCs w:val="24"/>
          <w:vertAlign w:val="superscript"/>
        </w:rPr>
        <w:footnoteReference w:customMarkFollows="0" w:id="3"/>
      </w:r>
      <w:r w:rsidDel="00000000" w:rsidR="00000000" w:rsidRPr="00000000">
        <w:rPr>
          <w:rFonts w:ascii="Georgia" w:cs="Georgia" w:eastAsia="Georgia" w:hAnsi="Georgia"/>
          <w:sz w:val="24"/>
          <w:szCs w:val="24"/>
          <w:rtl w:val="0"/>
        </w:rPr>
        <w:t xml:space="preserve"> Ensuring that authors can meaningfully reclaim their rights can also incentivize authors to create new works. When authors are surprised by termination fees, the result is often discouragement from future participation. As the Office rightfully pointed out: “Demand for the services varies depending on prices—if fees are set too high, potential users (including many non-profit or non-corporate users) may reduce their participation.” Keeping the fee low for recording termination notice will meaningfully signal to authors that the Office supports entry into the copyright system as well as the author's ability to exercise their lawful rights within that system.</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jc w:val="right"/>
      <w:rPr/>
    </w:pPr>
    <w:r w:rsidDel="00000000" w:rsidR="00000000" w:rsidRPr="00000000">
      <w:rPr>
        <w:rFonts w:ascii="Georgia" w:cs="Georgia" w:eastAsia="Georgia" w:hAnsi="Georgia"/>
        <w:sz w:val="24"/>
        <w:szCs w:val="24"/>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2">
      <w:pPr>
        <w:spacing w:line="240" w:lineRule="auto"/>
        <w:rPr>
          <w:rFonts w:ascii="Georgia" w:cs="Georgia" w:eastAsia="Georgia" w:hAnsi="Georgia"/>
          <w:sz w:val="20"/>
          <w:szCs w:val="20"/>
        </w:rPr>
      </w:pPr>
      <w:r w:rsidDel="00000000" w:rsidR="00000000" w:rsidRPr="00000000">
        <w:rPr>
          <w:rStyle w:val="FootnoteReference"/>
          <w:vertAlign w:val="superscript"/>
        </w:rPr>
        <w:footnoteRef/>
      </w:r>
      <w:r w:rsidDel="00000000" w:rsidR="00000000" w:rsidRPr="00000000">
        <w:rPr>
          <w:rFonts w:ascii="Georgia" w:cs="Georgia" w:eastAsia="Georgia" w:hAnsi="Georgia"/>
          <w:sz w:val="20"/>
          <w:szCs w:val="20"/>
          <w:rtl w:val="0"/>
        </w:rPr>
        <w:t xml:space="preserve"> Authors Alliance is a nonprofit organization founded in 2014 to advance the interests of authors who want to serve the public good by sharing their creations broadly. We create educational resources to help creators understand and enjoy their rights and promote policies that make knowledge and culture available and discoverable. We also advocate on our members’ behalf before Congress, the courts, and other government entities. For more information about Authors Alliance, </w:t>
      </w:r>
      <w:r w:rsidDel="00000000" w:rsidR="00000000" w:rsidRPr="00000000">
        <w:rPr>
          <w:rFonts w:ascii="Georgia" w:cs="Georgia" w:eastAsia="Georgia" w:hAnsi="Georgia"/>
          <w:i w:val="1"/>
          <w:iCs w:val="1"/>
          <w:sz w:val="20"/>
          <w:szCs w:val="20"/>
          <w:rtl w:val="0"/>
        </w:rPr>
        <w:t xml:space="preserve">see</w:t>
      </w:r>
      <w:r w:rsidDel="00000000" w:rsidR="00000000" w:rsidRPr="00000000">
        <w:rPr>
          <w:rFonts w:ascii="Georgia" w:cs="Georgia" w:eastAsia="Georgia" w:hAnsi="Georgia"/>
          <w:sz w:val="20"/>
          <w:szCs w:val="20"/>
          <w:rtl w:val="0"/>
        </w:rPr>
        <w:t xml:space="preserve"> About Us, Authors Alliance, https://www.authorsalliance.org/about/</w:t>
      </w:r>
    </w:p>
  </w:footnote>
  <w:footnote w:id="3">
    <w:p w:rsidR="00000000" w:rsidDel="00000000" w:rsidP="00000000" w:rsidRDefault="00000000" w:rsidRPr="00000000" w14:paraId="00000023">
      <w:pPr>
        <w:spacing w:line="240" w:lineRule="auto"/>
        <w:rPr>
          <w:rFonts w:ascii="Georgia" w:cs="Georgia" w:eastAsia="Georgia" w:hAnsi="Georgia"/>
          <w:sz w:val="20"/>
          <w:szCs w:val="20"/>
        </w:rPr>
      </w:pPr>
      <w:r w:rsidDel="00000000" w:rsidR="00000000" w:rsidRPr="00000000">
        <w:rPr>
          <w:rStyle w:val="FootnoteReference"/>
          <w:vertAlign w:val="superscript"/>
        </w:rPr>
        <w:footnoteRef/>
      </w:r>
      <w:r w:rsidDel="00000000" w:rsidR="00000000" w:rsidRPr="00000000">
        <w:rPr>
          <w:rFonts w:ascii="Georgia" w:cs="Georgia" w:eastAsia="Georgia" w:hAnsi="Georgia"/>
          <w:sz w:val="20"/>
          <w:szCs w:val="20"/>
          <w:rtl w:val="0"/>
        </w:rPr>
        <w:t xml:space="preserve"> </w:t>
      </w:r>
      <w:r w:rsidDel="00000000" w:rsidR="00000000" w:rsidRPr="00000000">
        <w:rPr>
          <w:rFonts w:ascii="Georgia" w:cs="Georgia" w:eastAsia="Georgia" w:hAnsi="Georgia"/>
          <w:i w:val="1"/>
          <w:iCs w:val="1"/>
          <w:sz w:val="20"/>
          <w:szCs w:val="20"/>
          <w:rtl w:val="0"/>
        </w:rPr>
        <w:t xml:space="preserve">See</w:t>
      </w:r>
      <w:r w:rsidDel="00000000" w:rsidR="00000000" w:rsidRPr="00000000">
        <w:rPr>
          <w:rFonts w:ascii="Georgia" w:cs="Georgia" w:eastAsia="Georgia" w:hAnsi="Georgia"/>
          <w:sz w:val="20"/>
          <w:szCs w:val="20"/>
          <w:rtl w:val="0"/>
        </w:rPr>
        <w:t xml:space="preserve"> Paul J. Heald, Copyright Reversion to Authors (and the Rosetta Effect): An Empirical Study of Reappearing Books, 66 J. Copyright Soc’y U.S.A 59, 64-65 (2018-19) (“After examining three different datasets totaling 1909 titles, I find strong support for the conclusion that the 35-year termination right of 17 USC § 203, along with the 56- year termination provision 17 USC § 304, result in a significantly increased availability of book titles to the public.”)</w:t>
      </w:r>
    </w:p>
  </w:footnote>
  <w:footnote w:id="1">
    <w:p w:rsidR="00000000" w:rsidDel="00000000" w:rsidP="00000000" w:rsidRDefault="00000000" w:rsidRPr="00000000" w14:paraId="00000024">
      <w:pPr>
        <w:spacing w:line="240" w:lineRule="auto"/>
        <w:rPr>
          <w:rFonts w:ascii="Georgia" w:cs="Georgia" w:eastAsia="Georgia" w:hAnsi="Georgia"/>
          <w:sz w:val="20"/>
          <w:szCs w:val="20"/>
        </w:rPr>
      </w:pPr>
      <w:r w:rsidDel="00000000" w:rsidR="00000000" w:rsidRPr="00000000">
        <w:rPr>
          <w:rStyle w:val="FootnoteReference"/>
          <w:vertAlign w:val="superscript"/>
        </w:rPr>
        <w:footnoteRef/>
      </w:r>
      <w:r w:rsidDel="00000000" w:rsidR="00000000" w:rsidRPr="00000000">
        <w:rPr>
          <w:rFonts w:ascii="Georgia" w:cs="Georgia" w:eastAsia="Georgia" w:hAnsi="Georgia"/>
          <w:sz w:val="20"/>
          <w:szCs w:val="20"/>
          <w:rtl w:val="0"/>
        </w:rPr>
        <w:t xml:space="preserve"> </w:t>
      </w:r>
      <w:r w:rsidDel="00000000" w:rsidR="00000000" w:rsidRPr="00000000">
        <w:rPr>
          <w:rFonts w:ascii="Georgia" w:cs="Georgia" w:eastAsia="Georgia" w:hAnsi="Georgia"/>
          <w:i w:val="1"/>
          <w:iCs w:val="1"/>
          <w:sz w:val="20"/>
          <w:szCs w:val="20"/>
          <w:rtl w:val="0"/>
        </w:rPr>
        <w:t xml:space="preserve">See</w:t>
      </w:r>
      <w:r w:rsidDel="00000000" w:rsidR="00000000" w:rsidRPr="00000000">
        <w:rPr>
          <w:rFonts w:ascii="Georgia" w:cs="Georgia" w:eastAsia="Georgia" w:hAnsi="Georgia"/>
          <w:sz w:val="20"/>
          <w:szCs w:val="20"/>
          <w:rtl w:val="0"/>
        </w:rPr>
        <w:t xml:space="preserve"> e.g., Maria A. Pallante, The Next Great Copyright Act, 36 Colum. J. L. &amp; Arts 315, 316 (2013) (“The [termination] provisions as enacted are almost incomprehensible on their face, particularly for the authors, widows, widowers, children and other heirs who need to navigate them.”)</w:t>
      </w:r>
    </w:p>
  </w:footnote>
  <w:footnote w:id="2">
    <w:p w:rsidR="00000000" w:rsidDel="00000000" w:rsidP="00000000" w:rsidRDefault="00000000" w:rsidRPr="00000000" w14:paraId="00000025">
      <w:pPr>
        <w:spacing w:line="240" w:lineRule="auto"/>
        <w:rPr>
          <w:rFonts w:ascii="Georgia" w:cs="Georgia" w:eastAsia="Georgia" w:hAnsi="Georgia"/>
          <w:sz w:val="20"/>
          <w:szCs w:val="20"/>
        </w:rPr>
      </w:pPr>
      <w:r w:rsidDel="00000000" w:rsidR="00000000" w:rsidRPr="00000000">
        <w:rPr>
          <w:rStyle w:val="FootnoteReference"/>
          <w:vertAlign w:val="superscript"/>
        </w:rPr>
        <w:footnoteRef/>
      </w:r>
      <w:r w:rsidDel="00000000" w:rsidR="00000000" w:rsidRPr="00000000">
        <w:rPr>
          <w:rFonts w:ascii="Georgia" w:cs="Georgia" w:eastAsia="Georgia" w:hAnsi="Georgia"/>
          <w:sz w:val="20"/>
          <w:szCs w:val="20"/>
          <w:rtl w:val="0"/>
        </w:rPr>
        <w:t xml:space="preserve"> Based on the Federal Research Division, U.S. Copyright Office FY2024 Fee Study: Cost Assessment Report 3, 2025.</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spacing w:line="276" w:lineRule="auto"/>
      <w:rPr>
        <w:rFonts w:ascii="Calibri" w:cs="Calibri" w:eastAsia="Calibri" w:hAnsi="Calibri"/>
        <w:sz w:val="24"/>
        <w:szCs w:val="24"/>
      </w:rPr>
    </w:pPr>
    <w:r w:rsidDel="00000000" w:rsidR="00000000" w:rsidRPr="00000000">
      <w:rPr/>
      <w:drawing>
        <wp:inline distB="114300" distT="114300" distL="114300" distR="114300">
          <wp:extent cx="5943600" cy="6858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68580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